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body>
    <w:p>
      <w:pPr>
        <w:spacing w:after="0"/>
        <w:ind w:left="0"/>
        <w:jc w:val="center"/>
      </w:pPr>
      <w:r>
        <w:rPr>
          <w:rFonts w:ascii="Arial" w:hAnsi="Arial"/>
          <w:b/>
          <w:i w:val="false"/>
          <w:color w:val="000000"/>
          <w:sz w:val="20"/>
          <w:u w:val="single"/>
        </w:rPr>
        <w:t>PROJETO DE LEI Nº 15, DE 29 DE ABRIL DE 2025.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7"/>
        <w:gridCol w:w="6817"/>
      </w:tblGrid>
      <w:tr>
        <w:trPr>
          <w:trHeight w:val="30" w:hRule="atLeast"/>
        </w:trPr>
        <w:tc>
          <w:tcPr>
            <w:tcW w:w="6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Altera a Lei Municipal nº 4.191, de 09-12-2015.</w:t>
            </w:r>
          </w:p>
        </w:tc>
      </w:tr>
    </w:tbl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O </w:t>
      </w:r>
      <w:r>
        <w:rPr>
          <w:rFonts w:ascii="Arial" w:hAnsi="Arial"/>
          <w:b/>
          <w:i w:val="false"/>
          <w:color w:val="000000"/>
          <w:sz w:val="20"/>
        </w:rPr>
        <w:t>PREFEITO MUNICIPAL DE FARROUPILHA</w:t>
      </w:r>
      <w:r>
        <w:rPr>
          <w:rFonts w:ascii="Arial" w:hAnsi="Arial"/>
          <w:b w:val="false"/>
          <w:i w:val="false"/>
          <w:color w:val="000000"/>
          <w:sz w:val="20"/>
        </w:rPr>
        <w:t>,</w:t>
      </w:r>
      <w:r>
        <w:rPr>
          <w:rFonts w:ascii="Arial" w:hAnsi="Arial"/>
          <w:b/>
          <w:i w:val="false"/>
          <w:color w:val="000000"/>
          <w:sz w:val="20"/>
        </w:rPr>
        <w:t xml:space="preserve"> </w:t>
      </w:r>
      <w:r>
        <w:rPr>
          <w:rFonts w:ascii="Arial" w:hAnsi="Arial"/>
          <w:b w:val="false"/>
          <w:i w:val="false"/>
          <w:color w:val="000000"/>
          <w:sz w:val="20"/>
        </w:rPr>
        <w:t>RS, no uso das atribuições que lhe confere a Lei, apresenta o seguinte Projeto de Lei:</w:t>
      </w:r>
    </w:p>
    <w:p>
      <w:pPr>
        <w:spacing w:after="0"/>
        <w:ind w:left="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Art. 1º A Lei Municipal nº 4.191, de 09-12-2015, passa a vigorar com as seguintes alterações: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r>
        <w:rPr>
          <w:rFonts w:ascii="Arial" w:hAnsi="Arial"/>
          <w:b w:val="false"/>
          <w:i w:val="false"/>
          <w:color w:val="000000"/>
          <w:sz w:val="20"/>
        </w:rPr>
        <w:t>"Art. 2º (...)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r>
        <w:rPr>
          <w:rFonts w:ascii="Arial" w:hAnsi="Arial"/>
          <w:b w:val="false"/>
          <w:i w:val="false"/>
          <w:color w:val="000000"/>
          <w:sz w:val="20"/>
        </w:rPr>
        <w:t>(...)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hyperlink r:id="rId4">
        <w:r>
          <w:rPr>
            <w:rFonts w:ascii="Arial" w:hAnsi="Arial"/>
            <w:b w:val="false"/>
            <w:i w:val="false"/>
            <w:color w:val="0000ff"/>
            <w:sz w:val="20"/>
            <w:u w:val="single"/>
          </w:rPr>
          <w:t>XXVI - </w:t>
        </w:r>
      </w:hyperlink>
      <w:r>
        <w:rPr>
          <w:rFonts w:ascii="Arial" w:hAnsi="Arial"/>
          <w:b w:val="false"/>
          <w:i w:val="false"/>
          <w:color w:val="000000"/>
          <w:sz w:val="20"/>
        </w:rPr>
        <w:t>aglutinação: é a incorporação de um lote ou gleba ou fração destes a um outro lote ou gleba contíguos e com acesso ao sistema viário já implantado.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r>
        <w:rPr>
          <w:rFonts w:ascii="Arial" w:hAnsi="Arial"/>
          <w:b w:val="false"/>
          <w:i w:val="false"/>
          <w:color w:val="000000"/>
          <w:sz w:val="20"/>
        </w:rPr>
        <w:t>(...)</w:t>
      </w:r>
      <w:r>
        <w:rPr>
          <w:rFonts w:ascii="Arial" w:hAnsi="Arial"/>
          <w:b w:val="false"/>
          <w:i w:val="false"/>
          <w:color w:val="000000"/>
          <w:sz w:val="20"/>
        </w:rPr>
        <w:t>" (NR)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r>
        <w:rPr>
          <w:rFonts w:ascii="Arial" w:hAnsi="Arial"/>
          <w:b w:val="false"/>
          <w:i w:val="false"/>
          <w:color w:val="000000"/>
          <w:sz w:val="20"/>
        </w:rPr>
        <w:t>"Art. 22. (...)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r>
        <w:rPr>
          <w:rFonts w:ascii="Arial" w:hAnsi="Arial"/>
          <w:b w:val="false"/>
          <w:i w:val="false"/>
          <w:color w:val="000000"/>
          <w:sz w:val="20"/>
        </w:rPr>
        <w:t>(...)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r>
        <w:rPr>
          <w:rFonts w:ascii="Arial" w:hAnsi="Arial"/>
          <w:b w:val="false"/>
          <w:i w:val="false"/>
          <w:color w:val="000000"/>
          <w:sz w:val="20"/>
        </w:rPr>
        <w:t>§ 2º (...)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r>
        <w:rPr>
          <w:rFonts w:ascii="Arial" w:hAnsi="Arial"/>
          <w:b w:val="false"/>
          <w:i w:val="false"/>
          <w:color w:val="000000"/>
          <w:sz w:val="20"/>
        </w:rPr>
        <w:t>(...)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hyperlink r:id="rId5">
        <w:r>
          <w:rPr>
            <w:rFonts w:ascii="Arial" w:hAnsi="Arial"/>
            <w:b w:val="false"/>
            <w:i w:val="false"/>
            <w:color w:val="0000ff"/>
            <w:sz w:val="20"/>
            <w:u w:val="single"/>
          </w:rPr>
          <w:t>IV - </w:t>
        </w:r>
      </w:hyperlink>
      <w:r>
        <w:rPr>
          <w:rFonts w:ascii="Arial" w:hAnsi="Arial"/>
          <w:b w:val="false"/>
          <w:i w:val="false"/>
          <w:color w:val="000000"/>
          <w:sz w:val="20"/>
        </w:rPr>
        <w:t>Se a área pública a ser destinada for inferior às dimensões mínimas de um lote no respectivo zoneamento, esta será obrigatoriamente convertida em moeda corrente nacional, observado o procedimento previsto no inciso III deste artigo.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r>
        <w:rPr>
          <w:rFonts w:ascii="Arial" w:hAnsi="Arial"/>
          <w:b w:val="false"/>
          <w:i w:val="false"/>
          <w:color w:val="000000"/>
          <w:sz w:val="20"/>
        </w:rPr>
        <w:t>(...)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hyperlink r:id="rId6">
        <w:r>
          <w:rPr>
            <w:rFonts w:ascii="Arial" w:hAnsi="Arial"/>
            <w:b w:val="false"/>
            <w:i w:val="false"/>
            <w:color w:val="0000ff"/>
            <w:sz w:val="20"/>
            <w:u w:val="single"/>
          </w:rPr>
          <w:t>§ 4º </w:t>
        </w:r>
      </w:hyperlink>
      <w:r>
        <w:rPr>
          <w:rFonts w:ascii="Arial" w:hAnsi="Arial"/>
          <w:b w:val="false"/>
          <w:i w:val="false"/>
          <w:color w:val="000000"/>
          <w:sz w:val="20"/>
        </w:rPr>
        <w:t>Não haverá nova destinação de áreas públicas se esta já tiver sido realizada, nos percentuais e incidências estabelecidos neste artigo, em anterior parcelamento abrangendo a mesma área. Se realizada em percentuais e incidências inferiores, deverá ser complementada.</w:t>
      </w:r>
      <w:r>
        <w:rPr>
          <w:rFonts w:ascii="Arial" w:hAnsi="Arial"/>
          <w:b w:val="false"/>
          <w:i w:val="false"/>
          <w:color w:val="000000"/>
          <w:sz w:val="20"/>
        </w:rPr>
        <w:t>" (NR)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hyperlink r:id="rId7">
        <w:r>
          <w:rPr>
            <w:rFonts w:ascii="Arial" w:hAnsi="Arial"/>
            <w:b w:val="false"/>
            <w:i w:val="false"/>
            <w:color w:val="0000ff"/>
            <w:sz w:val="20"/>
            <w:u w:val="single"/>
          </w:rPr>
          <w:t>"Art. 26-A. </w:t>
        </w:r>
      </w:hyperlink>
      <w:r>
        <w:rPr>
          <w:rFonts w:ascii="Arial" w:hAnsi="Arial"/>
          <w:b w:val="false"/>
          <w:i w:val="false"/>
          <w:color w:val="000000"/>
          <w:sz w:val="20"/>
        </w:rPr>
        <w:t>É autorizado o desmembramento de fração de lote ou gleba urbanos com concomitante aglutinação da área desmembrada a um outro lote ou gleba contíguos e com acesso ao sistema viário já implantado.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hyperlink r:id="rId8">
        <w:r>
          <w:rPr>
            <w:rFonts w:ascii="Arial" w:hAnsi="Arial"/>
            <w:b w:val="false"/>
            <w:i w:val="false"/>
            <w:color w:val="0000ff"/>
            <w:sz w:val="20"/>
            <w:u w:val="single"/>
          </w:rPr>
          <w:t>§ 1º </w:t>
        </w:r>
      </w:hyperlink>
      <w:r>
        <w:rPr>
          <w:rFonts w:ascii="Arial" w:hAnsi="Arial"/>
          <w:b w:val="false"/>
          <w:i w:val="false"/>
          <w:color w:val="000000"/>
          <w:sz w:val="20"/>
        </w:rPr>
        <w:t>O pedido de desmembramento com aglutinação deverá ser formulado conjuntamente pelos proprietários dos imóveis a desmembrar e a aglutinar.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hyperlink r:id="rId9">
        <w:r>
          <w:rPr>
            <w:rFonts w:ascii="Arial" w:hAnsi="Arial"/>
            <w:b w:val="false"/>
            <w:i w:val="false"/>
            <w:color w:val="0000ff"/>
            <w:sz w:val="20"/>
            <w:u w:val="single"/>
          </w:rPr>
          <w:t>§ 2º </w:t>
        </w:r>
      </w:hyperlink>
      <w:r>
        <w:rPr>
          <w:rFonts w:ascii="Arial" w:hAnsi="Arial"/>
          <w:b w:val="false"/>
          <w:i w:val="false"/>
          <w:color w:val="000000"/>
          <w:sz w:val="20"/>
        </w:rPr>
        <w:t>A área remanescente do desmembramento não poderá ser inferior à mínima estabelecida no respectivo zoneamento.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                </w:t>
      </w:r>
      <w:hyperlink r:id="rId10">
        <w:r>
          <w:rPr>
            <w:rFonts w:ascii="Arial" w:hAnsi="Arial"/>
            <w:b w:val="false"/>
            <w:i w:val="false"/>
            <w:color w:val="0000ff"/>
            <w:sz w:val="20"/>
            <w:u w:val="single"/>
          </w:rPr>
          <w:t>§ 3º </w:t>
        </w:r>
      </w:hyperlink>
      <w:r>
        <w:rPr>
          <w:rFonts w:ascii="Arial" w:hAnsi="Arial"/>
          <w:b w:val="false"/>
          <w:i w:val="false"/>
          <w:color w:val="000000"/>
          <w:sz w:val="20"/>
        </w:rPr>
        <w:t>O procedimento previsto nesse artigo não isenta o proprietário do lote ou gleba a ser desmembrado do cumprimento da obrigação prevista no art. 22 desta Lei, e dependerá de escritura pública e recolhimento dos tributos incidentes, conforme o caso.</w:t>
      </w:r>
      <w:r>
        <w:rPr>
          <w:rFonts w:ascii="Arial" w:hAnsi="Arial"/>
          <w:b w:val="false"/>
          <w:i w:val="false"/>
          <w:color w:val="000000"/>
          <w:sz w:val="20"/>
        </w:rPr>
        <w:t>" (NR)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hyperlink r:id="rId11">
        <w:r>
          <w:rPr>
            <w:rFonts w:ascii="Arial" w:hAnsi="Arial"/>
            <w:b w:val="false"/>
            <w:i w:val="false"/>
            <w:color w:val="0000ff"/>
            <w:sz w:val="20"/>
            <w:u w:val="single"/>
          </w:rPr>
          <w:t>Art. 2º </w:t>
        </w:r>
      </w:hyperlink>
      <w:r>
        <w:rPr>
          <w:rFonts w:ascii="Arial" w:hAnsi="Arial"/>
          <w:b w:val="false"/>
          <w:i w:val="false"/>
          <w:color w:val="000000"/>
          <w:sz w:val="20"/>
        </w:rPr>
        <w:t>Revogados os art. 24 e 25 da Lei Municipal nº 4.191, de 09-12-2015.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Art. 3º Esta Lei entrará em vigor na data de sua publicação.</w:t>
      </w:r>
    </w:p>
    <w:p>
      <w:pPr>
        <w:spacing w:after="0"/>
        <w:ind w:left="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GABINETE DO PREFEITO MUNICIPAL DE FARROUPILHA, RS, 29 de Abril de 2025.</w:t>
      </w:r>
    </w:p>
    <w:p>
      <w:pPr>
        <w:spacing w:after="0"/>
        <w:ind w:left="0"/>
        <w:jc w:val="left"/>
      </w:pPr>
      <w:r>
        <w:br/>
      </w:r>
      <w:r>
        <w:rPr>
          <w:rFonts w:ascii="Arial" w:hAnsi="Arial"/>
          <w:b w:val="false"/>
          <w:i w:val="false"/>
          <w:color w:val="000000"/>
          <w:sz w:val="20"/>
        </w:rPr>
        <w:t xml:space="preserve"> </w:t>
      </w:r>
    </w:p>
    <w:p>
      <w:pPr>
        <w:spacing w:after="0"/>
        <w:ind w:left="0"/>
        <w:jc w:val="center"/>
      </w:pPr>
      <w:r>
        <w:rPr>
          <w:rFonts w:ascii="Arial" w:hAnsi="Arial"/>
          <w:b w:val="false"/>
          <w:i w:val="false"/>
          <w:color w:val="000000"/>
          <w:sz w:val="20"/>
        </w:rPr>
        <w:t>JONAS TOMAZINI</w:t>
      </w:r>
      <w:r>
        <w:br/>
      </w:r>
      <w:r>
        <w:rPr>
          <w:rFonts w:ascii="Arial" w:hAnsi="Arial"/>
          <w:b w:val="false"/>
          <w:i w:val="false"/>
          <w:color w:val="000000"/>
          <w:sz w:val="20"/>
        </w:rPr>
        <w:t>Prefeito Municipal</w:t>
      </w:r>
    </w:p>
    <w:p>
      <w:pPr>
        <w:spacing w:after="0"/>
        <w:ind w:left="0"/>
        <w:jc w:val="left"/>
      </w:pPr>
      <w:r>
        <w:br w:type="page"/>
      </w:r>
    </w:p>
    <w:p>
      <w:pPr>
        <w:spacing w:after="0"/>
        <w:ind w:left="0"/>
        <w:jc w:val="center"/>
      </w:pPr>
      <w:r>
        <w:rPr>
          <w:rFonts w:ascii="Arial" w:hAnsi="Arial"/>
          <w:b/>
          <w:i w:val="false"/>
          <w:color w:val="000000"/>
          <w:sz w:val="20"/>
        </w:rPr>
        <w:t xml:space="preserve">JUSTIFICATIVA 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Senhor Presidente,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Senhores Vereadores: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É com satisfação que cumprimentamos os Nobres Integrantes do Poder Legislativo Municipal, oportunidade em que encaminhamos Projeto de Lei, que altera a Lei Municipal nº 4.191, de 09-12-2015.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Considerando a crescente demanda por parte de munícipes que, por diversos motivos, necessitam ampliar seus lotes para atender a projetos de maior envergadura, seja para fins residenciais, comerciais ou industriais, torna-se relevante e oportuna a proposição de alteração na Lei Municipal nº 4.191/2015, que rege o parcelamento do solo urbano em Farroupilha.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A proposta consiste em permitir a realização concomitante de desmembramento e aglutinação, desde que observadas as seguintes condições: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a) A fração de lote ou gleba urbana a ser desmembrada deverá ser contígua ao lote ou gleba a ser aglutinado;</w:t>
      </w:r>
      <w:r>
        <w:br/>
      </w: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b) O lote ou gleba a ser aglutinado deverá ter acesso ao sistema viário já implantado; </w:t>
      </w:r>
      <w:r>
        <w:br/>
      </w: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c) O pedido de desmembramento com aglutinação deverá ser formulado conjuntamente pelos proprietários dos imóveis a desmembrar e a aglutinar;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d) a área remanescente do desmembramento não poderá ser inferior à mínima estabelecida no respectivo zoneamento;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e) somente haverá destinação de área pública se esta já não tiver sido realizada em anterior parcelamento de solo abrangendo a mesma área ou se foi realizada em percentuais e incidências inferiores às previstas na legislação;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f) dependerá de escritura pública e recolhimento dos tributos incidentes, conforme o caso. 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Essa modalidade, quando aplicada, não altera a característica original da gleba ou do lote, mantendo sua unidade funcional e urbanística, sendo utilizada exclusivamente para fins de adequação ou ampliação.</w:t>
      </w:r>
      <w:r>
        <w:br/>
      </w: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Importa destacar que, não configura novo parcelamento do solo típico com finalidade mercantil.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Além disso, a medida se justifica diante da necessidade urbanística de regularização de situações consolidadas, como aquelas em que edificações invadem lotes vizinhos, inviabilizando o registro e o licenciamento de construções. A possibilidade de regularização via desmembramento e aglutinação simultâneos soluciona conflitos fundiários latentes, trazendo segurança jurídica e promovendo o desenvolvimento ordenado do território urbano.</w:t>
      </w:r>
    </w:p>
    <w:p>
      <w:pPr>
        <w:spacing w:after="0"/>
        <w:ind w:left="0"/>
        <w:jc w:val="both"/>
      </w:pPr>
      <w:r>
        <w:br/>
      </w: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Dessa forma, a alteração legislativa proposta não apenas resguarda os princípios da Lei de Parcelamento do Solo, mas também alinha-se com os objetivos do Estatuto da Cidade, promovendo regularização fundiária, segurança jurídica e incentivo ao desenvolvimento urbano sustentável.</w:t>
      </w:r>
    </w:p>
    <w:p>
      <w:pPr>
        <w:spacing w:after="0"/>
        <w:ind w:left="0"/>
        <w:jc w:val="both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Assim sendo, solicitamos a apreciação e consequente aprovação do citado Projeto de Lei. 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        </w:t>
      </w:r>
      <w:r>
        <w:rPr>
          <w:rFonts w:ascii="Arial" w:hAnsi="Arial"/>
          <w:b w:val="false"/>
          <w:i w:val="false"/>
          <w:color w:val="000000"/>
          <w:sz w:val="20"/>
        </w:rPr>
        <w:t>GABINETE DO PREFEITO MUNICIPAL DE FARROUPILHA, RS, 29 de Abril de 2025.</w:t>
      </w:r>
    </w:p>
    <w:p>
      <w:pPr>
        <w:spacing w:after="0"/>
        <w:ind w:left="0"/>
        <w:jc w:val="left"/>
      </w:pPr>
      <w:r>
        <w:br/>
      </w:r>
      <w:r>
        <w:rPr>
          <w:rFonts w:ascii="Arial" w:hAnsi="Arial"/>
          <w:b w:val="false"/>
          <w:i w:val="false"/>
          <w:color w:val="000000"/>
          <w:sz w:val="20"/>
        </w:rPr>
        <w:t xml:space="preserve"> </w:t>
      </w:r>
    </w:p>
    <w:p>
      <w:pPr>
        <w:spacing w:after="0"/>
        <w:ind w:left="0"/>
        <w:jc w:val="center"/>
      </w:pPr>
      <w:r>
        <w:rPr>
          <w:rFonts w:ascii="Arial" w:hAnsi="Arial"/>
          <w:b w:val="false"/>
          <w:i w:val="false"/>
          <w:color w:val="000000"/>
          <w:sz w:val="20"/>
        </w:rPr>
        <w:t>JONAS TOMAZINI</w:t>
      </w:r>
      <w:r>
        <w:br/>
      </w:r>
      <w:r>
        <w:rPr>
          <w:rFonts w:ascii="Arial" w:hAnsi="Arial"/>
          <w:b w:val="false"/>
          <w:i w:val="false"/>
          <w:color w:val="000000"/>
          <w:sz w:val="20"/>
        </w:rPr>
        <w:t>Prefeito Municipal</w:t>
      </w:r>
    </w:p>
    <w:sectPr>
      <w:pgSz w:w="11907" w:h="16839" w:code="9"/>
      <w:pgMar w:top="2268" w:right="1134" w:bottom="2268" w:left="1134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120" w:after="120" w:afterAutospacing="false" w:line="240"/>
    </w:pPr>
    <w:rPr>
      <w:rFonts w:ascii="Arial" w:hAnsi="Arial"/>
      <w:sz w:val="20"/>
      <w:szCs w:val="20"/>
      <w:lang w:val="pt-BR" w:eastAsia="pt-BR" w:bidi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rFonts w:ascii="Arial" w:hAnsi="Arial"/>
      <w:lang w:val="pt-BR" w:eastAsia="pt-BR" w:bidi="pt-BR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Arial" w:hAnsi="Arial"/>
      <w:lang w:val="pt-BR" w:eastAsia="pt-BR" w:bidi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/acessos/consolida/lei/jInGvlhLAU3dTMBj.html?timeline=29/04/2025&amp;origem=66166#72838" Type="http://schemas.openxmlformats.org/officeDocument/2006/relationships/hyperlink" Id="rId4"/>
    <Relationship TargetMode="External" Target="/acessos/consolida/lei/jInGvlhLAU3dTMBj.html?timeline=29/04/2025&amp;origem=66166#72918" Type="http://schemas.openxmlformats.org/officeDocument/2006/relationships/hyperlink" Id="rId5"/>
    <Relationship TargetMode="External" Target="/acessos/consolida/lei/jInGvlhLAU3dTMBj.html?timeline=29/04/2025&amp;origem=66166#72919" Type="http://schemas.openxmlformats.org/officeDocument/2006/relationships/hyperlink" Id="rId6"/>
    <Relationship TargetMode="External" Target="/acessos/consolida/lei/jInGvlhLAU3dTMBj.html?timeline=29/04/2025&amp;origem=66166#72925" Type="http://schemas.openxmlformats.org/officeDocument/2006/relationships/hyperlink" Id="rId7"/>
    <Relationship TargetMode="External" Target="/acessos/consolida/lei/jInGvlhLAU3dTMBj.html?timeline=29/04/2025&amp;origem=66166#72925" Type="http://schemas.openxmlformats.org/officeDocument/2006/relationships/hyperlink" Id="rId8"/>
    <Relationship TargetMode="External" Target="/acessos/consolida/lei/jInGvlhLAU3dTMBj.html?timeline=29/04/2025&amp;origem=66166#72925" Type="http://schemas.openxmlformats.org/officeDocument/2006/relationships/hyperlink" Id="rId9"/>
    <Relationship TargetMode="External" Target="/acessos/consolida/lei/jInGvlhLAU3dTMBj.html?timeline=29/04/2025&amp;origem=66166#72925" Type="http://schemas.openxmlformats.org/officeDocument/2006/relationships/hyperlink" Id="rId10"/>
    <Relationship TargetMode="External" Target="/acessos/consolida/lei/jInGvlhLAU3dTMBj.html?timeline=29/04/2025&amp;origem=66166#72923" Type="http://schemas.openxmlformats.org/officeDocument/2006/relationships/hyperlink" Id="rId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