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34E3" w14:textId="77777777" w:rsidR="00EA3407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31, DE 11 DE AGOSTO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5"/>
        <w:gridCol w:w="4791"/>
      </w:tblGrid>
      <w:tr w:rsidR="00EA3407" w14:paraId="1D923805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0BFAE" w14:textId="77777777" w:rsidR="00EA3407" w:rsidRDefault="00EA3407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66089" w14:textId="77777777" w:rsidR="00EA3407" w:rsidRDefault="00000000">
            <w:pPr>
              <w:spacing w:after="0"/>
              <w:jc w:val="both"/>
            </w:pPr>
            <w:r>
              <w:rPr>
                <w:color w:val="000000"/>
              </w:rPr>
              <w:t>Autoriza o Poder Executivo a contratar operação de crédito com a Caixa Econômica Federal, com a garantia da União, e dá outras providências.</w:t>
            </w:r>
          </w:p>
        </w:tc>
      </w:tr>
    </w:tbl>
    <w:p w14:paraId="0D7BDFE7" w14:textId="77777777" w:rsidR="00EA3407" w:rsidRDefault="00000000">
      <w:pPr>
        <w:spacing w:after="0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Lei, apresenta o seguinte Projeto de Lei:</w:t>
      </w:r>
    </w:p>
    <w:p w14:paraId="64494A5A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Art. 1º Fica o Poder Executivo autorizado a contratar operação de crédito com a Caixa Econômica Federal, com a garantia da União, até o valor de R$ 20.000.000,00 (Vinte milhões de reais), no âmbito do FINISA - Financiamento à Infraestrutura e ao Saneamento, nos termos da Resolução CMN nº 4.995/2022, de 24/03/2022, e suas alterações, destinados à aplicação em Despesas de Capital, observada a legislação vigente, em especial, as disposições da Lei Complementar n° 101, de 04 de maio de 2000.  </w:t>
      </w:r>
    </w:p>
    <w:p w14:paraId="6AB649B1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Art. 2º Fica o Poder Executivo autorizado a vincular, como contragarantia à garantia da União, à operação de crédito de que trata esta Lei, em caráter irrevogável e irretratável, a modo “pro solvendo”, as receitas a que se referem 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158 e 159, inciso I, alíneas “b”, “d” e “e”, complementadas pelas receitas tributárias estabelecidas no art. 156, nos termos do § 4º do art. 167, todos da Constituição Federal, bem como outras garantias admitidas em direito.     </w:t>
      </w:r>
    </w:p>
    <w:p w14:paraId="6E35F3D3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26D7CE67" w14:textId="77777777" w:rsidR="00EA3407" w:rsidRDefault="00000000">
      <w:pPr>
        <w:spacing w:after="0"/>
      </w:pPr>
      <w:r>
        <w:rPr>
          <w:color w:val="000000"/>
        </w:rPr>
        <w:t xml:space="preserve">         GABINETE DO PREFEITO MUNICIPAL DE FARROUPILHA, RS, 11 de agosto de 2023.</w:t>
      </w:r>
    </w:p>
    <w:p w14:paraId="40161CDC" w14:textId="77777777" w:rsidR="00EA3407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2B5DFCCA" w14:textId="77777777" w:rsidR="00EA3407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4FB79531" w14:textId="77777777" w:rsidR="00EA3407" w:rsidRDefault="00000000">
      <w:pPr>
        <w:spacing w:after="0"/>
      </w:pPr>
      <w:r>
        <w:br w:type="page"/>
      </w:r>
    </w:p>
    <w:p w14:paraId="50E36166" w14:textId="77777777" w:rsidR="00EA3407" w:rsidRDefault="00000000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14:paraId="3E1C75C6" w14:textId="77777777" w:rsidR="00EA3407" w:rsidRDefault="00000000">
      <w:pPr>
        <w:spacing w:after="0"/>
        <w:jc w:val="center"/>
      </w:pPr>
      <w:r>
        <w:rPr>
          <w:b/>
          <w:color w:val="000000"/>
        </w:rPr>
        <w:t>J U S T I F I C A T I V A</w:t>
      </w:r>
    </w:p>
    <w:p w14:paraId="64DF0019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</w:t>
      </w:r>
    </w:p>
    <w:p w14:paraId="5A13B0BF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>Senhor Presidente,</w:t>
      </w:r>
    </w:p>
    <w:p w14:paraId="40707E48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>Senhores Vereadores:</w:t>
      </w:r>
    </w:p>
    <w:p w14:paraId="36A96367" w14:textId="77777777" w:rsidR="00EA3407" w:rsidRDefault="00EA3407">
      <w:pPr>
        <w:spacing w:after="0"/>
        <w:jc w:val="both"/>
      </w:pPr>
    </w:p>
    <w:p w14:paraId="1B5738B1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>Na oportunidade em que cumprimentamos os Ilustres Integrantes do Parlamento Municipal, encaminhamos, em anexo, Projeto de Lei que autoriza o Poder Executivo a contratar operação de crédito com a Caixa Econômica Federal, com a garantia da União, e dá outras providências.</w:t>
      </w:r>
    </w:p>
    <w:p w14:paraId="7C26A2B5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>Os recursos previstos em até R$ 20.000.000,00 (vinte milhões de reais), são provenientes da linha de crédito da Caixa Econômica Federal denominada FINISA, possuem carência de 12 meses e amortização em 108 meses, e serão aplicados em obras públicas, que visem melhorar a qualidade de vida, por meio de pavimentações de vias, assim como no atendimento à comunidade.</w:t>
      </w:r>
    </w:p>
    <w:p w14:paraId="713CF3BC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 xml:space="preserve">As obras de pavimentação possuem a finalidade de melhorar as condições de trânsito, segurança e trafegabilidade, contribuindo para o progresso e desenvolvimento de Farroupilha. </w:t>
      </w:r>
    </w:p>
    <w:p w14:paraId="4A5F6869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  <w:shd w:val="clear" w:color="auto" w:fill="FFFFFF"/>
        </w:rPr>
        <w:t xml:space="preserve">A contratação da operação com a Caixa Econômica Federal na linha do </w:t>
      </w:r>
      <w:proofErr w:type="spellStart"/>
      <w:r>
        <w:rPr>
          <w:color w:val="000000"/>
          <w:shd w:val="clear" w:color="auto" w:fill="FFFFFF"/>
        </w:rPr>
        <w:t>Finisa</w:t>
      </w:r>
      <w:proofErr w:type="spellEnd"/>
      <w:r>
        <w:rPr>
          <w:color w:val="000000"/>
          <w:shd w:val="clear" w:color="auto" w:fill="FFFFFF"/>
        </w:rPr>
        <w:t xml:space="preserve"> se dará com uma taxa variável atrelada ao CDI, o que </w:t>
      </w:r>
      <w:proofErr w:type="gramStart"/>
      <w:r>
        <w:rPr>
          <w:color w:val="000000"/>
          <w:shd w:val="clear" w:color="auto" w:fill="FFFFFF"/>
        </w:rPr>
        <w:t>torna-se</w:t>
      </w:r>
      <w:proofErr w:type="gramEnd"/>
      <w:r>
        <w:rPr>
          <w:color w:val="000000"/>
          <w:shd w:val="clear" w:color="auto" w:fill="FFFFFF"/>
        </w:rPr>
        <w:t xml:space="preserve"> mais em conta em um cenário de redução da taxa SELIC, fato já sinalizado pelo Banco Central. Os recursos serão liberados em parcelas e terão incidência de juros apenas a partir das liberações.</w:t>
      </w:r>
    </w:p>
    <w:p w14:paraId="49355A63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A captação se faz necessária para fazer frente a: </w:t>
      </w:r>
    </w:p>
    <w:p w14:paraId="1ED9646E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1) amortização dos financiamentos já contratados. Na atual Gestão, ou seja, de 2021 a 2024, projeta-se mais de R$ 32.000.000,00 entre amortizações e juros a serem pagos;</w:t>
      </w:r>
    </w:p>
    <w:p w14:paraId="14EE88FC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2) aumento nas alíquotas extraordinárias do Regime Próprio de Previdência (RPPS) de 14,50% em 2020 (R$ 8,4 milhões) para 18,50% em 2021 (R$ 9,7 milhões), 21,50% em 2022 (R$ 11,4 milhões), 28,73% em 2023 (R$ 16,1 milhões) e 43,35% em 2024 (estima-se R$ 24,2 milhões). O aumento nas alíquotas extraordinárias deve ultrapassar em R$ 25.000.000,00 os aportes ao fundo na atual Gestão, além do que já vinha sendo pago;</w:t>
      </w:r>
    </w:p>
    <w:p w14:paraId="1E09E7CB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3) redução no retorno das receitas do ICMS ocasionado pela diminuição nos percentuais do imposto sobre combustíveis, energia e telecomunicações. Em 2021 a receita atingiu R$ 88.864.268,98, em 2022 caiu para R$ 85.006.069,54 e a projeção para 2023 não deve ultrapassar os R$ 80.000.000,00. Se considerarmos somente a inflação no biênio 2022/2023 a queda nas receitas deve ultrapassar a casa dos R$ 28.000.000,00.</w:t>
      </w:r>
    </w:p>
    <w:p w14:paraId="7D0E0BB8" w14:textId="77777777" w:rsidR="00EA3407" w:rsidRDefault="00000000">
      <w:pPr>
        <w:spacing w:after="0"/>
        <w:jc w:val="both"/>
      </w:pPr>
      <w:r>
        <w:rPr>
          <w:color w:val="000000"/>
        </w:rPr>
        <w:t xml:space="preserve">         Assim sendo, submetemos o presente Projeto de Lei à elevada apreciação dessa Egrégia Câmara de Vereadores, solicitando sua apreciação e aprovação.</w:t>
      </w:r>
    </w:p>
    <w:p w14:paraId="1EE47BCB" w14:textId="77777777" w:rsidR="00EA3407" w:rsidRDefault="00000000">
      <w:pPr>
        <w:spacing w:after="0"/>
      </w:pPr>
      <w:r>
        <w:rPr>
          <w:color w:val="000000"/>
        </w:rPr>
        <w:t xml:space="preserve">         GABINETE DO PREFEITO MUNICIPAL DE FARROUPILHA, RS, 11 de agosto de 2023.</w:t>
      </w:r>
    </w:p>
    <w:p w14:paraId="3E6DEE97" w14:textId="77777777" w:rsidR="00EA3407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1A66FA83" w14:textId="77777777" w:rsidR="00EA3407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A3407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7110">
    <w:abstractNumId w:val="1"/>
  </w:num>
  <w:num w:numId="2" w16cid:durableId="31584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07"/>
    <w:rsid w:val="00337624"/>
    <w:rsid w:val="00E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2250"/>
  <w15:docId w15:val="{B1247F16-18C6-43FE-9FC9-E747D3C5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2023-08-14T14:36:00Z</dcterms:created>
  <dcterms:modified xsi:type="dcterms:W3CDTF">2023-08-14T14:36:00Z</dcterms:modified>
</cp:coreProperties>
</file>