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81B7" w14:textId="77777777" w:rsidR="0099636C" w:rsidRDefault="00613566">
      <w:pPr>
        <w:spacing w:after="0"/>
        <w:jc w:val="center"/>
      </w:pPr>
      <w:r>
        <w:rPr>
          <w:b/>
          <w:color w:val="000000"/>
          <w:u w:val="single"/>
        </w:rPr>
        <w:t>PROJETO DE LEI Nº 67, DE 04 DE NOVEMBRO DE 2022.</w:t>
      </w:r>
    </w:p>
    <w:tbl>
      <w:tblPr>
        <w:tblW w:w="0" w:type="auto"/>
        <w:tblCellSpacing w:w="0" w:type="auto"/>
        <w:tblLook w:val="04A0" w:firstRow="1" w:lastRow="0" w:firstColumn="1" w:lastColumn="0" w:noHBand="0" w:noVBand="1"/>
      </w:tblPr>
      <w:tblGrid>
        <w:gridCol w:w="4507"/>
        <w:gridCol w:w="4849"/>
      </w:tblGrid>
      <w:tr w:rsidR="0099636C" w14:paraId="1623CA2C" w14:textId="77777777">
        <w:trPr>
          <w:trHeight w:val="30"/>
          <w:tblCellSpacing w:w="0" w:type="auto"/>
        </w:trPr>
        <w:tc>
          <w:tcPr>
            <w:tcW w:w="6817" w:type="dxa"/>
            <w:tcMar>
              <w:top w:w="15" w:type="dxa"/>
              <w:left w:w="15" w:type="dxa"/>
              <w:bottom w:w="15" w:type="dxa"/>
              <w:right w:w="15" w:type="dxa"/>
            </w:tcMar>
            <w:vAlign w:val="center"/>
          </w:tcPr>
          <w:p w14:paraId="6912118F" w14:textId="77777777" w:rsidR="0099636C" w:rsidRDefault="0099636C"/>
        </w:tc>
        <w:tc>
          <w:tcPr>
            <w:tcW w:w="6817" w:type="dxa"/>
            <w:tcMar>
              <w:top w:w="15" w:type="dxa"/>
              <w:left w:w="15" w:type="dxa"/>
              <w:bottom w:w="15" w:type="dxa"/>
              <w:right w:w="15" w:type="dxa"/>
            </w:tcMar>
            <w:vAlign w:val="center"/>
          </w:tcPr>
          <w:p w14:paraId="7538911C" w14:textId="77777777" w:rsidR="0099636C" w:rsidRDefault="00613566">
            <w:pPr>
              <w:spacing w:after="0"/>
              <w:jc w:val="both"/>
            </w:pPr>
            <w:r>
              <w:rPr>
                <w:color w:val="000000"/>
              </w:rPr>
              <w:t>Estima a Receita e fixa a Despesa do Município de Farroupilha para o exercício de 2023.</w:t>
            </w:r>
          </w:p>
        </w:tc>
      </w:tr>
    </w:tbl>
    <w:p w14:paraId="760FBC25" w14:textId="77777777" w:rsidR="0099636C" w:rsidRDefault="00613566">
      <w:pPr>
        <w:spacing w:after="0"/>
        <w:jc w:val="both"/>
      </w:pPr>
      <w:r>
        <w:rPr>
          <w:color w:val="000000"/>
        </w:rPr>
        <w:t xml:space="preserve">         O </w:t>
      </w:r>
      <w:r>
        <w:rPr>
          <w:b/>
          <w:color w:val="000000"/>
        </w:rPr>
        <w:t>PREFEITO MUNICIPAL DE FARROUPILHA,</w:t>
      </w:r>
      <w:r>
        <w:rPr>
          <w:color w:val="000000"/>
        </w:rPr>
        <w:t xml:space="preserve"> RS, no uso das atribuições que lhe confere a Lei, apresenta o seguinte Projeto de Lei:</w:t>
      </w:r>
    </w:p>
    <w:p w14:paraId="54B1C031" w14:textId="77777777" w:rsidR="0099636C" w:rsidRDefault="00613566">
      <w:pPr>
        <w:spacing w:after="0"/>
        <w:jc w:val="center"/>
      </w:pPr>
      <w:r>
        <w:rPr>
          <w:color w:val="000000"/>
        </w:rPr>
        <w:t xml:space="preserve">CAPÍTULO I </w:t>
      </w:r>
    </w:p>
    <w:p w14:paraId="4226EF3E" w14:textId="77777777" w:rsidR="0099636C" w:rsidRDefault="00613566">
      <w:pPr>
        <w:spacing w:after="0"/>
        <w:jc w:val="center"/>
      </w:pPr>
      <w:r>
        <w:rPr>
          <w:color w:val="000000"/>
        </w:rPr>
        <w:t>DISPOSIÇÕES PRELIMINARES</w:t>
      </w:r>
    </w:p>
    <w:p w14:paraId="6AB4F663" w14:textId="77777777" w:rsidR="0099636C" w:rsidRDefault="00613566">
      <w:pPr>
        <w:spacing w:after="0"/>
        <w:jc w:val="both"/>
      </w:pPr>
      <w:r>
        <w:rPr>
          <w:color w:val="000000"/>
        </w:rPr>
        <w:t xml:space="preserve">         Art. 1º Esta Lei estima a Receita e fixa a Despesa do Município para o exercício financeiro de 2023, referente aos Poderes</w:t>
      </w:r>
      <w:r>
        <w:rPr>
          <w:color w:val="000000"/>
        </w:rPr>
        <w:t xml:space="preserve"> do Município, seus fundos e órgãos.</w:t>
      </w:r>
    </w:p>
    <w:p w14:paraId="3B5D1E24" w14:textId="77777777" w:rsidR="0099636C" w:rsidRDefault="00613566">
      <w:pPr>
        <w:spacing w:after="0"/>
        <w:jc w:val="both"/>
      </w:pPr>
      <w:r>
        <w:rPr>
          <w:color w:val="000000"/>
        </w:rPr>
        <w:t xml:space="preserve">         Parágrafo único. Constituem anexos e fazem parte desta Lei:</w:t>
      </w:r>
    </w:p>
    <w:p w14:paraId="7E5A0D50" w14:textId="77777777" w:rsidR="0099636C" w:rsidRDefault="00613566">
      <w:pPr>
        <w:spacing w:after="0"/>
        <w:jc w:val="both"/>
      </w:pPr>
      <w:r>
        <w:rPr>
          <w:color w:val="000000"/>
        </w:rPr>
        <w:t xml:space="preserve">         I - Compatibilização do Orçamento às Metas de 2023;</w:t>
      </w:r>
    </w:p>
    <w:p w14:paraId="5FBDA5C7" w14:textId="77777777" w:rsidR="0099636C" w:rsidRDefault="00613566">
      <w:pPr>
        <w:spacing w:after="0"/>
        <w:jc w:val="both"/>
      </w:pPr>
      <w:r>
        <w:rPr>
          <w:color w:val="000000"/>
        </w:rPr>
        <w:t xml:space="preserve">         II - Demonstrativo da Receita e Despesa segundo as Categorias Econômicas;</w:t>
      </w:r>
    </w:p>
    <w:p w14:paraId="098DBCE8" w14:textId="77777777" w:rsidR="0099636C" w:rsidRDefault="00613566">
      <w:pPr>
        <w:spacing w:after="0"/>
        <w:jc w:val="both"/>
      </w:pPr>
      <w:r>
        <w:rPr>
          <w:color w:val="000000"/>
        </w:rPr>
        <w:t xml:space="preserve">      </w:t>
      </w:r>
      <w:r>
        <w:rPr>
          <w:color w:val="000000"/>
        </w:rPr>
        <w:t xml:space="preserve">   III - Demonstrativo da Receita segundo as Categorias Econômicas;</w:t>
      </w:r>
    </w:p>
    <w:p w14:paraId="1D94BC31" w14:textId="77777777" w:rsidR="0099636C" w:rsidRDefault="00613566">
      <w:pPr>
        <w:spacing w:after="0"/>
        <w:jc w:val="both"/>
      </w:pPr>
      <w:r>
        <w:rPr>
          <w:color w:val="000000"/>
        </w:rPr>
        <w:t xml:space="preserve">         IV - Resumo Geral da Despesa segundo as Categorias Econômicas;</w:t>
      </w:r>
    </w:p>
    <w:p w14:paraId="6E046835" w14:textId="77777777" w:rsidR="0099636C" w:rsidRDefault="00613566">
      <w:pPr>
        <w:spacing w:after="0"/>
        <w:jc w:val="both"/>
      </w:pPr>
      <w:r>
        <w:rPr>
          <w:color w:val="000000"/>
        </w:rPr>
        <w:t xml:space="preserve">         V - Natureza da Despesa por Órgão e Unidade Orçamentária;</w:t>
      </w:r>
    </w:p>
    <w:p w14:paraId="3A1EB33D" w14:textId="77777777" w:rsidR="0099636C" w:rsidRDefault="00613566">
      <w:pPr>
        <w:spacing w:after="0"/>
        <w:jc w:val="both"/>
      </w:pPr>
      <w:r>
        <w:rPr>
          <w:color w:val="000000"/>
        </w:rPr>
        <w:t xml:space="preserve">         VI - Programa de Trabalho por Órgão e Un</w:t>
      </w:r>
      <w:r>
        <w:rPr>
          <w:color w:val="000000"/>
        </w:rPr>
        <w:t>idade Orçamentária;</w:t>
      </w:r>
    </w:p>
    <w:p w14:paraId="46CEF9E9" w14:textId="77777777" w:rsidR="0099636C" w:rsidRDefault="00613566">
      <w:pPr>
        <w:spacing w:after="0"/>
        <w:jc w:val="both"/>
      </w:pPr>
      <w:r>
        <w:rPr>
          <w:color w:val="000000"/>
        </w:rPr>
        <w:t xml:space="preserve">         VII - Despesa por Funções, Subfunções e Programas por Projetos e Atividades;</w:t>
      </w:r>
    </w:p>
    <w:p w14:paraId="0D5635D1" w14:textId="77777777" w:rsidR="0099636C" w:rsidRDefault="00613566">
      <w:pPr>
        <w:spacing w:after="0"/>
        <w:jc w:val="both"/>
      </w:pPr>
      <w:r>
        <w:rPr>
          <w:color w:val="000000"/>
        </w:rPr>
        <w:t xml:space="preserve">         VIII - Despesa por Funções e Programas, conforme Vínculo de Recursos;</w:t>
      </w:r>
    </w:p>
    <w:p w14:paraId="3F5B420E" w14:textId="77777777" w:rsidR="0099636C" w:rsidRDefault="00613566">
      <w:pPr>
        <w:spacing w:after="0"/>
        <w:jc w:val="both"/>
      </w:pPr>
      <w:r>
        <w:rPr>
          <w:color w:val="000000"/>
        </w:rPr>
        <w:t xml:space="preserve">         IX - Demonstração da Despesa por Órgãos e Funções;</w:t>
      </w:r>
    </w:p>
    <w:p w14:paraId="2B01F698" w14:textId="77777777" w:rsidR="0099636C" w:rsidRDefault="00613566">
      <w:pPr>
        <w:spacing w:after="0"/>
        <w:jc w:val="both"/>
      </w:pPr>
      <w:r>
        <w:rPr>
          <w:color w:val="000000"/>
        </w:rPr>
        <w:t xml:space="preserve">         X </w:t>
      </w:r>
      <w:r>
        <w:rPr>
          <w:color w:val="000000"/>
        </w:rPr>
        <w:t>- Detalhamento do Programa de Trabalho;</w:t>
      </w:r>
    </w:p>
    <w:p w14:paraId="055DE117" w14:textId="77777777" w:rsidR="0099636C" w:rsidRDefault="00613566">
      <w:pPr>
        <w:spacing w:after="0"/>
        <w:jc w:val="both"/>
      </w:pPr>
      <w:r>
        <w:rPr>
          <w:color w:val="000000"/>
        </w:rPr>
        <w:t xml:space="preserve">         XI - Demonstrativo Percentual por Secretarias;</w:t>
      </w:r>
    </w:p>
    <w:p w14:paraId="7D90E7D9" w14:textId="77777777" w:rsidR="0099636C" w:rsidRDefault="00613566">
      <w:pPr>
        <w:spacing w:after="0"/>
        <w:jc w:val="both"/>
      </w:pPr>
      <w:r>
        <w:rPr>
          <w:color w:val="000000"/>
        </w:rPr>
        <w:t xml:space="preserve">         XII - Previsão de Aplicação de Recursos na Educação;</w:t>
      </w:r>
    </w:p>
    <w:p w14:paraId="3B1B6E63" w14:textId="77777777" w:rsidR="0099636C" w:rsidRDefault="00613566">
      <w:pPr>
        <w:spacing w:after="0"/>
        <w:jc w:val="both"/>
      </w:pPr>
      <w:r>
        <w:rPr>
          <w:color w:val="000000"/>
        </w:rPr>
        <w:t xml:space="preserve">         XIII - Previsão de Aplicação de Recursos na Saúde;</w:t>
      </w:r>
    </w:p>
    <w:p w14:paraId="26669DDD" w14:textId="77777777" w:rsidR="0099636C" w:rsidRDefault="00613566">
      <w:pPr>
        <w:spacing w:after="0"/>
        <w:jc w:val="both"/>
      </w:pPr>
      <w:r>
        <w:rPr>
          <w:color w:val="000000"/>
        </w:rPr>
        <w:t xml:space="preserve">         XIV - Projeção da </w:t>
      </w:r>
      <w:r>
        <w:rPr>
          <w:color w:val="000000"/>
        </w:rPr>
        <w:t>Receita Corrente Líquida;</w:t>
      </w:r>
    </w:p>
    <w:p w14:paraId="49C2EF37" w14:textId="77777777" w:rsidR="0099636C" w:rsidRDefault="00613566">
      <w:pPr>
        <w:spacing w:after="0"/>
        <w:jc w:val="both"/>
      </w:pPr>
      <w:r>
        <w:rPr>
          <w:color w:val="000000"/>
        </w:rPr>
        <w:t xml:space="preserve">         XV - Projeção da Despesa com Pessoal do Executivo;</w:t>
      </w:r>
    </w:p>
    <w:p w14:paraId="565FF934" w14:textId="77777777" w:rsidR="0099636C" w:rsidRDefault="00613566">
      <w:pPr>
        <w:spacing w:after="0"/>
        <w:jc w:val="both"/>
      </w:pPr>
      <w:r>
        <w:rPr>
          <w:color w:val="000000"/>
        </w:rPr>
        <w:t xml:space="preserve">         XVI - Projeção da Despesa com Pessoal do Legislativo;</w:t>
      </w:r>
    </w:p>
    <w:p w14:paraId="3AE83322" w14:textId="77777777" w:rsidR="0099636C" w:rsidRDefault="00613566">
      <w:pPr>
        <w:spacing w:after="0"/>
        <w:jc w:val="both"/>
      </w:pPr>
      <w:r>
        <w:rPr>
          <w:color w:val="000000"/>
        </w:rPr>
        <w:t xml:space="preserve">         XVII - Relação das Receitas Planejadas;</w:t>
      </w:r>
    </w:p>
    <w:p w14:paraId="78FE60C3" w14:textId="77777777" w:rsidR="0099636C" w:rsidRDefault="00613566">
      <w:pPr>
        <w:spacing w:after="0"/>
        <w:jc w:val="both"/>
      </w:pPr>
      <w:r>
        <w:rPr>
          <w:color w:val="000000"/>
        </w:rPr>
        <w:t xml:space="preserve">         XVIII - Relação das Despesas Planejadas;</w:t>
      </w:r>
    </w:p>
    <w:p w14:paraId="51D308A2" w14:textId="77777777" w:rsidR="0099636C" w:rsidRDefault="00613566">
      <w:pPr>
        <w:spacing w:after="0"/>
        <w:jc w:val="both"/>
      </w:pPr>
      <w:r>
        <w:rPr>
          <w:color w:val="000000"/>
        </w:rPr>
        <w:t xml:space="preserve">        </w:t>
      </w:r>
      <w:r>
        <w:rPr>
          <w:color w:val="000000"/>
        </w:rPr>
        <w:t xml:space="preserve"> XIX - Demonstrativos da Receita e Planos de Aplicação dos Fundos Especiais.</w:t>
      </w:r>
    </w:p>
    <w:p w14:paraId="27FF08FE" w14:textId="77777777" w:rsidR="0099636C" w:rsidRDefault="00613566">
      <w:pPr>
        <w:spacing w:after="0"/>
        <w:jc w:val="center"/>
      </w:pPr>
      <w:r>
        <w:rPr>
          <w:color w:val="000000"/>
        </w:rPr>
        <w:t xml:space="preserve">CAPÍTULO II </w:t>
      </w:r>
    </w:p>
    <w:p w14:paraId="7E08BF74" w14:textId="77777777" w:rsidR="0099636C" w:rsidRDefault="00613566">
      <w:pPr>
        <w:spacing w:after="0"/>
        <w:jc w:val="center"/>
      </w:pPr>
      <w:r>
        <w:rPr>
          <w:color w:val="000000"/>
        </w:rPr>
        <w:t xml:space="preserve">DO ORÇAMENTO </w:t>
      </w:r>
    </w:p>
    <w:p w14:paraId="30A5B469" w14:textId="77777777" w:rsidR="0099636C" w:rsidRDefault="00613566">
      <w:pPr>
        <w:spacing w:after="0"/>
        <w:jc w:val="center"/>
      </w:pPr>
      <w:r>
        <w:rPr>
          <w:color w:val="000000"/>
        </w:rPr>
        <w:t xml:space="preserve">Seção I </w:t>
      </w:r>
    </w:p>
    <w:p w14:paraId="6006EFF1" w14:textId="77777777" w:rsidR="0099636C" w:rsidRDefault="00613566">
      <w:pPr>
        <w:spacing w:after="0"/>
        <w:jc w:val="center"/>
      </w:pPr>
      <w:r>
        <w:rPr>
          <w:b/>
          <w:color w:val="000000"/>
        </w:rPr>
        <w:t>Da Estimativa da Receita</w:t>
      </w:r>
      <w:r>
        <w:rPr>
          <w:color w:val="000000"/>
        </w:rPr>
        <w:t xml:space="preserve"> </w:t>
      </w:r>
    </w:p>
    <w:p w14:paraId="052FDB8D" w14:textId="77777777" w:rsidR="0099636C" w:rsidRDefault="00613566">
      <w:pPr>
        <w:spacing w:after="0"/>
        <w:jc w:val="both"/>
      </w:pPr>
      <w:r>
        <w:rPr>
          <w:color w:val="000000"/>
        </w:rPr>
        <w:t xml:space="preserve">         Art. 2º A Receita Orçamentária é estimada no mesmo valor da Despesa Orçamentária, em R$ 414.000.000,00 (quat</w:t>
      </w:r>
      <w:r>
        <w:rPr>
          <w:color w:val="000000"/>
        </w:rPr>
        <w:t>rocentos e quatorze milhões de reais).</w:t>
      </w:r>
    </w:p>
    <w:p w14:paraId="5E7DD092" w14:textId="77777777" w:rsidR="00613566" w:rsidRDefault="00613566" w:rsidP="00613566">
      <w:pPr>
        <w:spacing w:before="0" w:after="0"/>
        <w:jc w:val="both"/>
        <w:rPr>
          <w:color w:val="000000"/>
        </w:rPr>
      </w:pPr>
      <w:r>
        <w:rPr>
          <w:color w:val="000000"/>
        </w:rPr>
        <w:lastRenderedPageBreak/>
        <w:t xml:space="preserve">         Art. 3º A estimativa da receita por Categoria Econômica, segundo a origem dos recursos, será realizada com base no produto do que for arrecadado, na forma da legislação vigente e de acordo com o seguinte desd</w:t>
      </w:r>
      <w:r>
        <w:rPr>
          <w:color w:val="000000"/>
        </w:rPr>
        <w:t>obramento:</w:t>
      </w:r>
    </w:p>
    <w:p w14:paraId="18067263" w14:textId="0F417DA5" w:rsidR="0099636C" w:rsidRPr="00613566" w:rsidRDefault="00613566">
      <w:pPr>
        <w:spacing w:after="0"/>
        <w:jc w:val="both"/>
        <w:rPr>
          <w:color w:val="000000"/>
        </w:rPr>
      </w:pPr>
      <w:r>
        <w:br/>
      </w:r>
      <w:r>
        <w:rPr>
          <w:color w:val="000000"/>
        </w:rPr>
        <w:t xml:space="preserve"> </w:t>
      </w:r>
    </w:p>
    <w:tbl>
      <w:tblPr>
        <w:tblW w:w="0" w:type="auto"/>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2234"/>
        <w:gridCol w:w="1304"/>
      </w:tblGrid>
      <w:tr w:rsidR="0099636C" w14:paraId="7AAD9D28" w14:textId="77777777" w:rsidTr="00613566">
        <w:trPr>
          <w:trHeight w:val="300"/>
          <w:tblCellSpacing w:w="0" w:type="nil"/>
          <w:jc w:val="center"/>
        </w:trPr>
        <w:tc>
          <w:tcPr>
            <w:tcW w:w="7093" w:type="dxa"/>
            <w:tcMar>
              <w:top w:w="15" w:type="dxa"/>
              <w:left w:w="53" w:type="dxa"/>
              <w:bottom w:w="15" w:type="dxa"/>
              <w:right w:w="53" w:type="dxa"/>
            </w:tcMar>
            <w:vAlign w:val="bottom"/>
          </w:tcPr>
          <w:p w14:paraId="4A5F025A" w14:textId="77777777" w:rsidR="0099636C" w:rsidRDefault="00613566">
            <w:pPr>
              <w:spacing w:after="0"/>
              <w:jc w:val="center"/>
            </w:pPr>
            <w:r>
              <w:rPr>
                <w:b/>
                <w:color w:val="000000"/>
              </w:rPr>
              <w:t>ESPECIFICAÇÃO</w:t>
            </w:r>
          </w:p>
        </w:tc>
        <w:tc>
          <w:tcPr>
            <w:tcW w:w="2512" w:type="dxa"/>
            <w:tcMar>
              <w:top w:w="15" w:type="dxa"/>
              <w:left w:w="53" w:type="dxa"/>
              <w:bottom w:w="15" w:type="dxa"/>
              <w:right w:w="53" w:type="dxa"/>
            </w:tcMar>
            <w:vAlign w:val="bottom"/>
          </w:tcPr>
          <w:p w14:paraId="39EA0DFD" w14:textId="77777777" w:rsidR="0099636C" w:rsidRDefault="00613566">
            <w:pPr>
              <w:spacing w:after="0"/>
              <w:jc w:val="center"/>
            </w:pPr>
            <w:r>
              <w:rPr>
                <w:b/>
                <w:color w:val="000000"/>
              </w:rPr>
              <w:t xml:space="preserve"> VALOR EM R$ </w:t>
            </w:r>
          </w:p>
        </w:tc>
        <w:tc>
          <w:tcPr>
            <w:tcW w:w="1462" w:type="dxa"/>
            <w:tcMar>
              <w:top w:w="15" w:type="dxa"/>
              <w:left w:w="53" w:type="dxa"/>
              <w:bottom w:w="15" w:type="dxa"/>
              <w:right w:w="53" w:type="dxa"/>
            </w:tcMar>
            <w:vAlign w:val="bottom"/>
          </w:tcPr>
          <w:p w14:paraId="63276DD6" w14:textId="77777777" w:rsidR="0099636C" w:rsidRDefault="00613566">
            <w:pPr>
              <w:spacing w:after="0"/>
              <w:jc w:val="center"/>
            </w:pPr>
            <w:r>
              <w:rPr>
                <w:b/>
                <w:color w:val="000000"/>
              </w:rPr>
              <w:t xml:space="preserve"> % </w:t>
            </w:r>
          </w:p>
        </w:tc>
      </w:tr>
      <w:tr w:rsidR="0099636C" w14:paraId="48192406" w14:textId="77777777" w:rsidTr="00613566">
        <w:trPr>
          <w:trHeight w:val="300"/>
          <w:tblCellSpacing w:w="0" w:type="nil"/>
          <w:jc w:val="center"/>
        </w:trPr>
        <w:tc>
          <w:tcPr>
            <w:tcW w:w="7093" w:type="dxa"/>
            <w:tcMar>
              <w:top w:w="15" w:type="dxa"/>
              <w:left w:w="53" w:type="dxa"/>
              <w:bottom w:w="15" w:type="dxa"/>
              <w:right w:w="53" w:type="dxa"/>
            </w:tcMar>
            <w:vAlign w:val="bottom"/>
          </w:tcPr>
          <w:p w14:paraId="7172EF61" w14:textId="77777777" w:rsidR="0099636C" w:rsidRDefault="00613566">
            <w:pPr>
              <w:spacing w:after="0"/>
            </w:pPr>
            <w:r>
              <w:rPr>
                <w:b/>
                <w:color w:val="000000"/>
              </w:rPr>
              <w:t>1 - RECEITAS CORRENTES</w:t>
            </w:r>
          </w:p>
        </w:tc>
        <w:tc>
          <w:tcPr>
            <w:tcW w:w="2512" w:type="dxa"/>
            <w:tcMar>
              <w:top w:w="15" w:type="dxa"/>
              <w:left w:w="53" w:type="dxa"/>
              <w:bottom w:w="15" w:type="dxa"/>
              <w:right w:w="53" w:type="dxa"/>
            </w:tcMar>
            <w:vAlign w:val="bottom"/>
          </w:tcPr>
          <w:p w14:paraId="61565326" w14:textId="77777777" w:rsidR="0099636C" w:rsidRDefault="00613566">
            <w:pPr>
              <w:spacing w:after="0"/>
              <w:jc w:val="right"/>
            </w:pPr>
            <w:r>
              <w:rPr>
                <w:b/>
                <w:color w:val="000000"/>
              </w:rPr>
              <w:t>398.035.400,00</w:t>
            </w:r>
          </w:p>
        </w:tc>
        <w:tc>
          <w:tcPr>
            <w:tcW w:w="1462" w:type="dxa"/>
            <w:tcMar>
              <w:top w:w="15" w:type="dxa"/>
              <w:left w:w="53" w:type="dxa"/>
              <w:bottom w:w="15" w:type="dxa"/>
              <w:right w:w="53" w:type="dxa"/>
            </w:tcMar>
            <w:vAlign w:val="bottom"/>
          </w:tcPr>
          <w:p w14:paraId="47C0BCD5" w14:textId="77777777" w:rsidR="0099636C" w:rsidRDefault="00613566">
            <w:pPr>
              <w:spacing w:after="0"/>
              <w:jc w:val="right"/>
            </w:pPr>
            <w:r>
              <w:rPr>
                <w:b/>
                <w:color w:val="000000"/>
              </w:rPr>
              <w:t>96,15%</w:t>
            </w:r>
          </w:p>
        </w:tc>
      </w:tr>
      <w:tr w:rsidR="0099636C" w14:paraId="156C0F0A" w14:textId="77777777" w:rsidTr="00613566">
        <w:trPr>
          <w:trHeight w:val="300"/>
          <w:tblCellSpacing w:w="0" w:type="nil"/>
          <w:jc w:val="center"/>
        </w:trPr>
        <w:tc>
          <w:tcPr>
            <w:tcW w:w="7093" w:type="dxa"/>
            <w:tcMar>
              <w:top w:w="15" w:type="dxa"/>
              <w:left w:w="53" w:type="dxa"/>
              <w:bottom w:w="15" w:type="dxa"/>
              <w:right w:w="53" w:type="dxa"/>
            </w:tcMar>
            <w:vAlign w:val="bottom"/>
          </w:tcPr>
          <w:p w14:paraId="0787E28F" w14:textId="77777777" w:rsidR="0099636C" w:rsidRDefault="00613566">
            <w:pPr>
              <w:spacing w:after="0"/>
            </w:pPr>
            <w:r>
              <w:rPr>
                <w:color w:val="000000"/>
              </w:rPr>
              <w:t>Impostos, Taxas e Contribuições de Melhoria</w:t>
            </w:r>
          </w:p>
        </w:tc>
        <w:tc>
          <w:tcPr>
            <w:tcW w:w="2512" w:type="dxa"/>
            <w:tcMar>
              <w:top w:w="15" w:type="dxa"/>
              <w:left w:w="53" w:type="dxa"/>
              <w:bottom w:w="15" w:type="dxa"/>
              <w:right w:w="53" w:type="dxa"/>
            </w:tcMar>
            <w:vAlign w:val="bottom"/>
          </w:tcPr>
          <w:p w14:paraId="030B3C67" w14:textId="77777777" w:rsidR="0099636C" w:rsidRDefault="00613566">
            <w:pPr>
              <w:spacing w:after="0"/>
              <w:jc w:val="right"/>
            </w:pPr>
            <w:r>
              <w:rPr>
                <w:color w:val="000000"/>
              </w:rPr>
              <w:t>84.010.000,00</w:t>
            </w:r>
          </w:p>
        </w:tc>
        <w:tc>
          <w:tcPr>
            <w:tcW w:w="1462" w:type="dxa"/>
            <w:tcMar>
              <w:top w:w="15" w:type="dxa"/>
              <w:left w:w="53" w:type="dxa"/>
              <w:bottom w:w="15" w:type="dxa"/>
              <w:right w:w="53" w:type="dxa"/>
            </w:tcMar>
            <w:vAlign w:val="bottom"/>
          </w:tcPr>
          <w:p w14:paraId="6118F496" w14:textId="77777777" w:rsidR="0099636C" w:rsidRDefault="00613566">
            <w:pPr>
              <w:spacing w:after="0"/>
              <w:jc w:val="right"/>
            </w:pPr>
            <w:r>
              <w:rPr>
                <w:color w:val="000000"/>
              </w:rPr>
              <w:t>20,29%</w:t>
            </w:r>
          </w:p>
        </w:tc>
      </w:tr>
      <w:tr w:rsidR="0099636C" w14:paraId="086A3606" w14:textId="77777777" w:rsidTr="00613566">
        <w:trPr>
          <w:trHeight w:val="300"/>
          <w:tblCellSpacing w:w="0" w:type="nil"/>
          <w:jc w:val="center"/>
        </w:trPr>
        <w:tc>
          <w:tcPr>
            <w:tcW w:w="7093" w:type="dxa"/>
            <w:tcMar>
              <w:top w:w="15" w:type="dxa"/>
              <w:left w:w="53" w:type="dxa"/>
              <w:bottom w:w="15" w:type="dxa"/>
              <w:right w:w="53" w:type="dxa"/>
            </w:tcMar>
            <w:vAlign w:val="bottom"/>
          </w:tcPr>
          <w:p w14:paraId="6D89B65E" w14:textId="77777777" w:rsidR="0099636C" w:rsidRDefault="00613566">
            <w:pPr>
              <w:spacing w:after="0"/>
            </w:pPr>
            <w:r>
              <w:rPr>
                <w:color w:val="000000"/>
              </w:rPr>
              <w:t>Contribuições</w:t>
            </w:r>
          </w:p>
        </w:tc>
        <w:tc>
          <w:tcPr>
            <w:tcW w:w="2512" w:type="dxa"/>
            <w:tcMar>
              <w:top w:w="15" w:type="dxa"/>
              <w:left w:w="53" w:type="dxa"/>
              <w:bottom w:w="15" w:type="dxa"/>
              <w:right w:w="53" w:type="dxa"/>
            </w:tcMar>
            <w:vAlign w:val="bottom"/>
          </w:tcPr>
          <w:p w14:paraId="572615C7" w14:textId="77777777" w:rsidR="0099636C" w:rsidRDefault="00613566">
            <w:pPr>
              <w:spacing w:after="0"/>
              <w:jc w:val="right"/>
            </w:pPr>
            <w:r>
              <w:rPr>
                <w:color w:val="000000"/>
              </w:rPr>
              <w:t>12.401.000,00</w:t>
            </w:r>
          </w:p>
        </w:tc>
        <w:tc>
          <w:tcPr>
            <w:tcW w:w="1462" w:type="dxa"/>
            <w:tcMar>
              <w:top w:w="15" w:type="dxa"/>
              <w:left w:w="53" w:type="dxa"/>
              <w:bottom w:w="15" w:type="dxa"/>
              <w:right w:w="53" w:type="dxa"/>
            </w:tcMar>
            <w:vAlign w:val="bottom"/>
          </w:tcPr>
          <w:p w14:paraId="6B1E6734" w14:textId="77777777" w:rsidR="0099636C" w:rsidRDefault="00613566">
            <w:pPr>
              <w:spacing w:after="0"/>
              <w:jc w:val="right"/>
            </w:pPr>
            <w:r>
              <w:rPr>
                <w:color w:val="000000"/>
              </w:rPr>
              <w:t>3,00%</w:t>
            </w:r>
          </w:p>
        </w:tc>
      </w:tr>
      <w:tr w:rsidR="0099636C" w14:paraId="49CBA912" w14:textId="77777777" w:rsidTr="00613566">
        <w:trPr>
          <w:trHeight w:val="300"/>
          <w:tblCellSpacing w:w="0" w:type="nil"/>
          <w:jc w:val="center"/>
        </w:trPr>
        <w:tc>
          <w:tcPr>
            <w:tcW w:w="7093" w:type="dxa"/>
            <w:tcMar>
              <w:top w:w="15" w:type="dxa"/>
              <w:left w:w="53" w:type="dxa"/>
              <w:bottom w:w="15" w:type="dxa"/>
              <w:right w:w="53" w:type="dxa"/>
            </w:tcMar>
            <w:vAlign w:val="bottom"/>
          </w:tcPr>
          <w:p w14:paraId="6DA728AB" w14:textId="77777777" w:rsidR="0099636C" w:rsidRDefault="00613566">
            <w:pPr>
              <w:spacing w:after="0"/>
            </w:pPr>
            <w:r>
              <w:rPr>
                <w:color w:val="000000"/>
              </w:rPr>
              <w:t>Receita Patrimonial</w:t>
            </w:r>
          </w:p>
        </w:tc>
        <w:tc>
          <w:tcPr>
            <w:tcW w:w="2512" w:type="dxa"/>
            <w:tcMar>
              <w:top w:w="15" w:type="dxa"/>
              <w:left w:w="53" w:type="dxa"/>
              <w:bottom w:w="15" w:type="dxa"/>
              <w:right w:w="53" w:type="dxa"/>
            </w:tcMar>
            <w:vAlign w:val="bottom"/>
          </w:tcPr>
          <w:p w14:paraId="40D01392" w14:textId="77777777" w:rsidR="0099636C" w:rsidRDefault="00613566">
            <w:pPr>
              <w:spacing w:after="0"/>
              <w:jc w:val="right"/>
            </w:pPr>
            <w:r>
              <w:rPr>
                <w:color w:val="000000"/>
              </w:rPr>
              <w:t>34.130.000,00</w:t>
            </w:r>
          </w:p>
        </w:tc>
        <w:tc>
          <w:tcPr>
            <w:tcW w:w="1462" w:type="dxa"/>
            <w:tcMar>
              <w:top w:w="15" w:type="dxa"/>
              <w:left w:w="53" w:type="dxa"/>
              <w:bottom w:w="15" w:type="dxa"/>
              <w:right w:w="53" w:type="dxa"/>
            </w:tcMar>
            <w:vAlign w:val="bottom"/>
          </w:tcPr>
          <w:p w14:paraId="098B8DCD" w14:textId="77777777" w:rsidR="0099636C" w:rsidRDefault="00613566">
            <w:pPr>
              <w:spacing w:after="0"/>
              <w:jc w:val="right"/>
            </w:pPr>
            <w:r>
              <w:rPr>
                <w:color w:val="000000"/>
              </w:rPr>
              <w:t>8,25%</w:t>
            </w:r>
          </w:p>
        </w:tc>
      </w:tr>
      <w:tr w:rsidR="0099636C" w14:paraId="1B620362" w14:textId="77777777" w:rsidTr="00613566">
        <w:trPr>
          <w:trHeight w:val="300"/>
          <w:tblCellSpacing w:w="0" w:type="nil"/>
          <w:jc w:val="center"/>
        </w:trPr>
        <w:tc>
          <w:tcPr>
            <w:tcW w:w="7093" w:type="dxa"/>
            <w:tcMar>
              <w:top w:w="15" w:type="dxa"/>
              <w:left w:w="53" w:type="dxa"/>
              <w:bottom w:w="15" w:type="dxa"/>
              <w:right w:w="53" w:type="dxa"/>
            </w:tcMar>
            <w:vAlign w:val="bottom"/>
          </w:tcPr>
          <w:p w14:paraId="2521E8D7" w14:textId="77777777" w:rsidR="0099636C" w:rsidRDefault="00613566">
            <w:pPr>
              <w:spacing w:after="0"/>
            </w:pPr>
            <w:r>
              <w:rPr>
                <w:color w:val="000000"/>
              </w:rPr>
              <w:t xml:space="preserve">Receita de </w:t>
            </w:r>
            <w:r>
              <w:rPr>
                <w:color w:val="000000"/>
              </w:rPr>
              <w:t>Serviços</w:t>
            </w:r>
          </w:p>
        </w:tc>
        <w:tc>
          <w:tcPr>
            <w:tcW w:w="2512" w:type="dxa"/>
            <w:tcMar>
              <w:top w:w="15" w:type="dxa"/>
              <w:left w:w="53" w:type="dxa"/>
              <w:bottom w:w="15" w:type="dxa"/>
              <w:right w:w="53" w:type="dxa"/>
            </w:tcMar>
            <w:vAlign w:val="bottom"/>
          </w:tcPr>
          <w:p w14:paraId="20EE36A8" w14:textId="77777777" w:rsidR="0099636C" w:rsidRDefault="00613566">
            <w:pPr>
              <w:spacing w:after="0"/>
              <w:jc w:val="right"/>
            </w:pPr>
            <w:r>
              <w:rPr>
                <w:color w:val="000000"/>
              </w:rPr>
              <w:t>339.000,00</w:t>
            </w:r>
          </w:p>
        </w:tc>
        <w:tc>
          <w:tcPr>
            <w:tcW w:w="1462" w:type="dxa"/>
            <w:tcMar>
              <w:top w:w="15" w:type="dxa"/>
              <w:left w:w="53" w:type="dxa"/>
              <w:bottom w:w="15" w:type="dxa"/>
              <w:right w:w="53" w:type="dxa"/>
            </w:tcMar>
            <w:vAlign w:val="bottom"/>
          </w:tcPr>
          <w:p w14:paraId="6DB3877F" w14:textId="77777777" w:rsidR="0099636C" w:rsidRDefault="00613566">
            <w:pPr>
              <w:spacing w:after="0"/>
              <w:jc w:val="right"/>
            </w:pPr>
            <w:r>
              <w:rPr>
                <w:color w:val="000000"/>
              </w:rPr>
              <w:t>0,08%</w:t>
            </w:r>
          </w:p>
        </w:tc>
      </w:tr>
      <w:tr w:rsidR="0099636C" w14:paraId="32538889" w14:textId="77777777" w:rsidTr="00613566">
        <w:trPr>
          <w:trHeight w:val="300"/>
          <w:tblCellSpacing w:w="0" w:type="nil"/>
          <w:jc w:val="center"/>
        </w:trPr>
        <w:tc>
          <w:tcPr>
            <w:tcW w:w="7093" w:type="dxa"/>
            <w:tcMar>
              <w:top w:w="15" w:type="dxa"/>
              <w:left w:w="53" w:type="dxa"/>
              <w:bottom w:w="15" w:type="dxa"/>
              <w:right w:w="53" w:type="dxa"/>
            </w:tcMar>
            <w:vAlign w:val="bottom"/>
          </w:tcPr>
          <w:p w14:paraId="1A287DFA" w14:textId="77777777" w:rsidR="0099636C" w:rsidRDefault="00613566">
            <w:pPr>
              <w:spacing w:after="0"/>
            </w:pPr>
            <w:r>
              <w:rPr>
                <w:color w:val="000000"/>
              </w:rPr>
              <w:t>Transferências Correntes</w:t>
            </w:r>
          </w:p>
        </w:tc>
        <w:tc>
          <w:tcPr>
            <w:tcW w:w="2512" w:type="dxa"/>
            <w:tcMar>
              <w:top w:w="15" w:type="dxa"/>
              <w:left w:w="53" w:type="dxa"/>
              <w:bottom w:w="15" w:type="dxa"/>
              <w:right w:w="53" w:type="dxa"/>
            </w:tcMar>
            <w:vAlign w:val="bottom"/>
          </w:tcPr>
          <w:p w14:paraId="1E759C37" w14:textId="77777777" w:rsidR="0099636C" w:rsidRDefault="00613566">
            <w:pPr>
              <w:spacing w:after="0"/>
              <w:jc w:val="right"/>
            </w:pPr>
            <w:r>
              <w:rPr>
                <w:color w:val="000000"/>
              </w:rPr>
              <w:t>266.280.400,00</w:t>
            </w:r>
          </w:p>
        </w:tc>
        <w:tc>
          <w:tcPr>
            <w:tcW w:w="1462" w:type="dxa"/>
            <w:tcMar>
              <w:top w:w="15" w:type="dxa"/>
              <w:left w:w="53" w:type="dxa"/>
              <w:bottom w:w="15" w:type="dxa"/>
              <w:right w:w="53" w:type="dxa"/>
            </w:tcMar>
            <w:vAlign w:val="bottom"/>
          </w:tcPr>
          <w:p w14:paraId="20F6ACE5" w14:textId="77777777" w:rsidR="0099636C" w:rsidRDefault="00613566">
            <w:pPr>
              <w:spacing w:after="0"/>
              <w:jc w:val="right"/>
            </w:pPr>
            <w:r>
              <w:rPr>
                <w:color w:val="000000"/>
              </w:rPr>
              <w:t>64,32%</w:t>
            </w:r>
          </w:p>
        </w:tc>
      </w:tr>
      <w:tr w:rsidR="0099636C" w14:paraId="7A1D7D0B" w14:textId="77777777" w:rsidTr="00613566">
        <w:trPr>
          <w:trHeight w:val="300"/>
          <w:tblCellSpacing w:w="0" w:type="nil"/>
          <w:jc w:val="center"/>
        </w:trPr>
        <w:tc>
          <w:tcPr>
            <w:tcW w:w="7093" w:type="dxa"/>
            <w:tcMar>
              <w:top w:w="15" w:type="dxa"/>
              <w:left w:w="53" w:type="dxa"/>
              <w:bottom w:w="15" w:type="dxa"/>
              <w:right w:w="53" w:type="dxa"/>
            </w:tcMar>
            <w:vAlign w:val="bottom"/>
          </w:tcPr>
          <w:p w14:paraId="49A9C437" w14:textId="77777777" w:rsidR="0099636C" w:rsidRDefault="00613566">
            <w:pPr>
              <w:spacing w:after="0"/>
            </w:pPr>
            <w:r>
              <w:rPr>
                <w:color w:val="000000"/>
              </w:rPr>
              <w:t>Outras Receitas Correntes</w:t>
            </w:r>
          </w:p>
        </w:tc>
        <w:tc>
          <w:tcPr>
            <w:tcW w:w="2512" w:type="dxa"/>
            <w:tcMar>
              <w:top w:w="15" w:type="dxa"/>
              <w:left w:w="53" w:type="dxa"/>
              <w:bottom w:w="15" w:type="dxa"/>
              <w:right w:w="53" w:type="dxa"/>
            </w:tcMar>
            <w:vAlign w:val="bottom"/>
          </w:tcPr>
          <w:p w14:paraId="10D940A9" w14:textId="77777777" w:rsidR="0099636C" w:rsidRDefault="00613566">
            <w:pPr>
              <w:spacing w:after="0"/>
              <w:jc w:val="right"/>
            </w:pPr>
            <w:r>
              <w:rPr>
                <w:color w:val="000000"/>
              </w:rPr>
              <w:t>875.000,00</w:t>
            </w:r>
          </w:p>
        </w:tc>
        <w:tc>
          <w:tcPr>
            <w:tcW w:w="1462" w:type="dxa"/>
            <w:tcMar>
              <w:top w:w="15" w:type="dxa"/>
              <w:left w:w="53" w:type="dxa"/>
              <w:bottom w:w="15" w:type="dxa"/>
              <w:right w:w="53" w:type="dxa"/>
            </w:tcMar>
            <w:vAlign w:val="bottom"/>
          </w:tcPr>
          <w:p w14:paraId="79923C3A" w14:textId="77777777" w:rsidR="0099636C" w:rsidRDefault="00613566">
            <w:pPr>
              <w:spacing w:after="0"/>
              <w:jc w:val="right"/>
            </w:pPr>
            <w:r>
              <w:rPr>
                <w:color w:val="000000"/>
              </w:rPr>
              <w:t>0,21%</w:t>
            </w:r>
          </w:p>
        </w:tc>
      </w:tr>
      <w:tr w:rsidR="0099636C" w14:paraId="65F2A2A1" w14:textId="77777777" w:rsidTr="00613566">
        <w:trPr>
          <w:trHeight w:val="300"/>
          <w:tblCellSpacing w:w="0" w:type="nil"/>
          <w:jc w:val="center"/>
        </w:trPr>
        <w:tc>
          <w:tcPr>
            <w:tcW w:w="7093" w:type="dxa"/>
            <w:tcMar>
              <w:top w:w="15" w:type="dxa"/>
              <w:left w:w="53" w:type="dxa"/>
              <w:bottom w:w="15" w:type="dxa"/>
              <w:right w:w="53" w:type="dxa"/>
            </w:tcMar>
            <w:vAlign w:val="bottom"/>
          </w:tcPr>
          <w:p w14:paraId="5853187D" w14:textId="77777777" w:rsidR="0099636C" w:rsidRDefault="00613566">
            <w:pPr>
              <w:spacing w:after="0"/>
            </w:pPr>
            <w:r>
              <w:rPr>
                <w:b/>
                <w:color w:val="000000"/>
              </w:rPr>
              <w:t>2 - RECEITAS DE CAPITAL</w:t>
            </w:r>
          </w:p>
        </w:tc>
        <w:tc>
          <w:tcPr>
            <w:tcW w:w="2512" w:type="dxa"/>
            <w:tcMar>
              <w:top w:w="15" w:type="dxa"/>
              <w:left w:w="53" w:type="dxa"/>
              <w:bottom w:w="15" w:type="dxa"/>
              <w:right w:w="53" w:type="dxa"/>
            </w:tcMar>
            <w:vAlign w:val="bottom"/>
          </w:tcPr>
          <w:p w14:paraId="06DF593E" w14:textId="77777777" w:rsidR="0099636C" w:rsidRDefault="00613566">
            <w:pPr>
              <w:spacing w:after="0"/>
              <w:jc w:val="right"/>
            </w:pPr>
            <w:r>
              <w:rPr>
                <w:b/>
                <w:color w:val="000000"/>
              </w:rPr>
              <w:t>20.793.000,00</w:t>
            </w:r>
          </w:p>
        </w:tc>
        <w:tc>
          <w:tcPr>
            <w:tcW w:w="1462" w:type="dxa"/>
            <w:tcMar>
              <w:top w:w="15" w:type="dxa"/>
              <w:left w:w="53" w:type="dxa"/>
              <w:bottom w:w="15" w:type="dxa"/>
              <w:right w:w="53" w:type="dxa"/>
            </w:tcMar>
            <w:vAlign w:val="bottom"/>
          </w:tcPr>
          <w:p w14:paraId="416F4D3B" w14:textId="77777777" w:rsidR="0099636C" w:rsidRDefault="00613566">
            <w:pPr>
              <w:spacing w:after="0"/>
              <w:jc w:val="right"/>
            </w:pPr>
            <w:r>
              <w:rPr>
                <w:b/>
                <w:color w:val="000000"/>
              </w:rPr>
              <w:t>5,02%</w:t>
            </w:r>
          </w:p>
        </w:tc>
      </w:tr>
      <w:tr w:rsidR="0099636C" w14:paraId="559DAC35" w14:textId="77777777" w:rsidTr="00613566">
        <w:trPr>
          <w:trHeight w:val="300"/>
          <w:tblCellSpacing w:w="0" w:type="nil"/>
          <w:jc w:val="center"/>
        </w:trPr>
        <w:tc>
          <w:tcPr>
            <w:tcW w:w="7093" w:type="dxa"/>
            <w:tcMar>
              <w:top w:w="15" w:type="dxa"/>
              <w:left w:w="53" w:type="dxa"/>
              <w:bottom w:w="15" w:type="dxa"/>
              <w:right w:w="53" w:type="dxa"/>
            </w:tcMar>
            <w:vAlign w:val="bottom"/>
          </w:tcPr>
          <w:p w14:paraId="2855DE4B" w14:textId="77777777" w:rsidR="0099636C" w:rsidRDefault="00613566">
            <w:pPr>
              <w:spacing w:after="0"/>
            </w:pPr>
            <w:r>
              <w:rPr>
                <w:color w:val="000000"/>
              </w:rPr>
              <w:t>Operações de Crédito</w:t>
            </w:r>
          </w:p>
        </w:tc>
        <w:tc>
          <w:tcPr>
            <w:tcW w:w="2512" w:type="dxa"/>
            <w:tcMar>
              <w:top w:w="15" w:type="dxa"/>
              <w:left w:w="53" w:type="dxa"/>
              <w:bottom w:w="15" w:type="dxa"/>
              <w:right w:w="53" w:type="dxa"/>
            </w:tcMar>
            <w:vAlign w:val="bottom"/>
          </w:tcPr>
          <w:p w14:paraId="013DBAFE" w14:textId="77777777" w:rsidR="0099636C" w:rsidRDefault="00613566">
            <w:pPr>
              <w:spacing w:after="0"/>
              <w:jc w:val="right"/>
            </w:pPr>
            <w:r>
              <w:rPr>
                <w:color w:val="000000"/>
              </w:rPr>
              <w:t>10.100.000,00</w:t>
            </w:r>
          </w:p>
        </w:tc>
        <w:tc>
          <w:tcPr>
            <w:tcW w:w="1462" w:type="dxa"/>
            <w:tcMar>
              <w:top w:w="15" w:type="dxa"/>
              <w:left w:w="53" w:type="dxa"/>
              <w:bottom w:w="15" w:type="dxa"/>
              <w:right w:w="53" w:type="dxa"/>
            </w:tcMar>
            <w:vAlign w:val="bottom"/>
          </w:tcPr>
          <w:p w14:paraId="383B4A49" w14:textId="77777777" w:rsidR="0099636C" w:rsidRDefault="00613566">
            <w:pPr>
              <w:spacing w:after="0"/>
              <w:jc w:val="right"/>
            </w:pPr>
            <w:r>
              <w:rPr>
                <w:color w:val="000000"/>
              </w:rPr>
              <w:t>2,44%</w:t>
            </w:r>
          </w:p>
        </w:tc>
      </w:tr>
      <w:tr w:rsidR="0099636C" w14:paraId="3B414A18" w14:textId="77777777" w:rsidTr="00613566">
        <w:trPr>
          <w:trHeight w:val="300"/>
          <w:tblCellSpacing w:w="0" w:type="nil"/>
          <w:jc w:val="center"/>
        </w:trPr>
        <w:tc>
          <w:tcPr>
            <w:tcW w:w="7093" w:type="dxa"/>
            <w:tcMar>
              <w:top w:w="15" w:type="dxa"/>
              <w:left w:w="53" w:type="dxa"/>
              <w:bottom w:w="15" w:type="dxa"/>
              <w:right w:w="53" w:type="dxa"/>
            </w:tcMar>
            <w:vAlign w:val="bottom"/>
          </w:tcPr>
          <w:p w14:paraId="1CE462D2" w14:textId="77777777" w:rsidR="0099636C" w:rsidRDefault="00613566">
            <w:pPr>
              <w:spacing w:after="0"/>
            </w:pPr>
            <w:r>
              <w:rPr>
                <w:color w:val="000000"/>
              </w:rPr>
              <w:t>Alienação de Bens</w:t>
            </w:r>
          </w:p>
        </w:tc>
        <w:tc>
          <w:tcPr>
            <w:tcW w:w="2512" w:type="dxa"/>
            <w:tcMar>
              <w:top w:w="15" w:type="dxa"/>
              <w:left w:w="53" w:type="dxa"/>
              <w:bottom w:w="15" w:type="dxa"/>
              <w:right w:w="53" w:type="dxa"/>
            </w:tcMar>
            <w:vAlign w:val="bottom"/>
          </w:tcPr>
          <w:p w14:paraId="00AFC58B" w14:textId="77777777" w:rsidR="0099636C" w:rsidRDefault="00613566">
            <w:pPr>
              <w:spacing w:after="0"/>
              <w:jc w:val="right"/>
            </w:pPr>
            <w:r>
              <w:rPr>
                <w:color w:val="000000"/>
              </w:rPr>
              <w:t>31.000,00</w:t>
            </w:r>
          </w:p>
        </w:tc>
        <w:tc>
          <w:tcPr>
            <w:tcW w:w="1462" w:type="dxa"/>
            <w:tcMar>
              <w:top w:w="15" w:type="dxa"/>
              <w:left w:w="53" w:type="dxa"/>
              <w:bottom w:w="15" w:type="dxa"/>
              <w:right w:w="53" w:type="dxa"/>
            </w:tcMar>
            <w:vAlign w:val="bottom"/>
          </w:tcPr>
          <w:p w14:paraId="723A2243" w14:textId="77777777" w:rsidR="0099636C" w:rsidRDefault="00613566">
            <w:pPr>
              <w:spacing w:after="0"/>
              <w:jc w:val="right"/>
            </w:pPr>
            <w:r>
              <w:rPr>
                <w:color w:val="000000"/>
              </w:rPr>
              <w:t>0,01%</w:t>
            </w:r>
          </w:p>
        </w:tc>
      </w:tr>
      <w:tr w:rsidR="0099636C" w14:paraId="072A9727" w14:textId="77777777" w:rsidTr="00613566">
        <w:trPr>
          <w:trHeight w:val="300"/>
          <w:tblCellSpacing w:w="0" w:type="nil"/>
          <w:jc w:val="center"/>
        </w:trPr>
        <w:tc>
          <w:tcPr>
            <w:tcW w:w="7093" w:type="dxa"/>
            <w:tcMar>
              <w:top w:w="15" w:type="dxa"/>
              <w:left w:w="53" w:type="dxa"/>
              <w:bottom w:w="15" w:type="dxa"/>
              <w:right w:w="53" w:type="dxa"/>
            </w:tcMar>
            <w:vAlign w:val="bottom"/>
          </w:tcPr>
          <w:p w14:paraId="52C4535C" w14:textId="77777777" w:rsidR="0099636C" w:rsidRDefault="00613566">
            <w:pPr>
              <w:spacing w:after="0"/>
            </w:pPr>
            <w:r>
              <w:rPr>
                <w:color w:val="000000"/>
              </w:rPr>
              <w:t>Amortização de Empréstimos</w:t>
            </w:r>
          </w:p>
        </w:tc>
        <w:tc>
          <w:tcPr>
            <w:tcW w:w="2512" w:type="dxa"/>
            <w:tcMar>
              <w:top w:w="15" w:type="dxa"/>
              <w:left w:w="53" w:type="dxa"/>
              <w:bottom w:w="15" w:type="dxa"/>
              <w:right w:w="53" w:type="dxa"/>
            </w:tcMar>
            <w:vAlign w:val="bottom"/>
          </w:tcPr>
          <w:p w14:paraId="50BEC5B1" w14:textId="77777777" w:rsidR="0099636C" w:rsidRDefault="00613566">
            <w:pPr>
              <w:spacing w:after="0"/>
              <w:jc w:val="right"/>
            </w:pPr>
            <w:r>
              <w:rPr>
                <w:color w:val="000000"/>
              </w:rPr>
              <w:t>58.000,00</w:t>
            </w:r>
          </w:p>
        </w:tc>
        <w:tc>
          <w:tcPr>
            <w:tcW w:w="1462" w:type="dxa"/>
            <w:tcMar>
              <w:top w:w="15" w:type="dxa"/>
              <w:left w:w="53" w:type="dxa"/>
              <w:bottom w:w="15" w:type="dxa"/>
              <w:right w:w="53" w:type="dxa"/>
            </w:tcMar>
            <w:vAlign w:val="bottom"/>
          </w:tcPr>
          <w:p w14:paraId="41B2E5E7" w14:textId="77777777" w:rsidR="0099636C" w:rsidRDefault="00613566">
            <w:pPr>
              <w:spacing w:after="0"/>
              <w:jc w:val="right"/>
            </w:pPr>
            <w:r>
              <w:rPr>
                <w:color w:val="000000"/>
              </w:rPr>
              <w:t>0,01%</w:t>
            </w:r>
          </w:p>
        </w:tc>
      </w:tr>
      <w:tr w:rsidR="0099636C" w14:paraId="37A86F71" w14:textId="77777777" w:rsidTr="00613566">
        <w:trPr>
          <w:trHeight w:val="300"/>
          <w:tblCellSpacing w:w="0" w:type="nil"/>
          <w:jc w:val="center"/>
        </w:trPr>
        <w:tc>
          <w:tcPr>
            <w:tcW w:w="7093" w:type="dxa"/>
            <w:tcMar>
              <w:top w:w="15" w:type="dxa"/>
              <w:left w:w="53" w:type="dxa"/>
              <w:bottom w:w="15" w:type="dxa"/>
              <w:right w:w="53" w:type="dxa"/>
            </w:tcMar>
            <w:vAlign w:val="bottom"/>
          </w:tcPr>
          <w:p w14:paraId="07F56A8B" w14:textId="77777777" w:rsidR="0099636C" w:rsidRDefault="00613566">
            <w:pPr>
              <w:spacing w:after="0"/>
            </w:pPr>
            <w:r>
              <w:rPr>
                <w:color w:val="000000"/>
              </w:rPr>
              <w:t>Transferências de Capital</w:t>
            </w:r>
          </w:p>
        </w:tc>
        <w:tc>
          <w:tcPr>
            <w:tcW w:w="2512" w:type="dxa"/>
            <w:tcMar>
              <w:top w:w="15" w:type="dxa"/>
              <w:left w:w="53" w:type="dxa"/>
              <w:bottom w:w="15" w:type="dxa"/>
              <w:right w:w="53" w:type="dxa"/>
            </w:tcMar>
            <w:vAlign w:val="bottom"/>
          </w:tcPr>
          <w:p w14:paraId="6D0512E3" w14:textId="77777777" w:rsidR="0099636C" w:rsidRDefault="00613566">
            <w:pPr>
              <w:spacing w:after="0"/>
              <w:jc w:val="right"/>
            </w:pPr>
            <w:r>
              <w:rPr>
                <w:color w:val="000000"/>
              </w:rPr>
              <w:t>9.646.000,00</w:t>
            </w:r>
          </w:p>
        </w:tc>
        <w:tc>
          <w:tcPr>
            <w:tcW w:w="1462" w:type="dxa"/>
            <w:tcMar>
              <w:top w:w="15" w:type="dxa"/>
              <w:left w:w="53" w:type="dxa"/>
              <w:bottom w:w="15" w:type="dxa"/>
              <w:right w:w="53" w:type="dxa"/>
            </w:tcMar>
            <w:vAlign w:val="bottom"/>
          </w:tcPr>
          <w:p w14:paraId="76B277BC" w14:textId="77777777" w:rsidR="0099636C" w:rsidRDefault="00613566">
            <w:pPr>
              <w:spacing w:after="0"/>
              <w:jc w:val="right"/>
            </w:pPr>
            <w:r>
              <w:rPr>
                <w:color w:val="000000"/>
              </w:rPr>
              <w:t>2,33%</w:t>
            </w:r>
          </w:p>
        </w:tc>
      </w:tr>
      <w:tr w:rsidR="0099636C" w14:paraId="445ACB84" w14:textId="77777777" w:rsidTr="00613566">
        <w:trPr>
          <w:trHeight w:val="300"/>
          <w:tblCellSpacing w:w="0" w:type="nil"/>
          <w:jc w:val="center"/>
        </w:trPr>
        <w:tc>
          <w:tcPr>
            <w:tcW w:w="7093" w:type="dxa"/>
            <w:tcMar>
              <w:top w:w="15" w:type="dxa"/>
              <w:left w:w="53" w:type="dxa"/>
              <w:bottom w:w="15" w:type="dxa"/>
              <w:right w:w="53" w:type="dxa"/>
            </w:tcMar>
            <w:vAlign w:val="bottom"/>
          </w:tcPr>
          <w:p w14:paraId="53C81D8A" w14:textId="77777777" w:rsidR="0099636C" w:rsidRDefault="00613566">
            <w:pPr>
              <w:spacing w:after="0"/>
            </w:pPr>
            <w:r>
              <w:rPr>
                <w:color w:val="000000"/>
              </w:rPr>
              <w:t>Outras Receitas de Capital</w:t>
            </w:r>
          </w:p>
        </w:tc>
        <w:tc>
          <w:tcPr>
            <w:tcW w:w="2512" w:type="dxa"/>
            <w:tcMar>
              <w:top w:w="15" w:type="dxa"/>
              <w:left w:w="53" w:type="dxa"/>
              <w:bottom w:w="15" w:type="dxa"/>
              <w:right w:w="53" w:type="dxa"/>
            </w:tcMar>
            <w:vAlign w:val="bottom"/>
          </w:tcPr>
          <w:p w14:paraId="3F2208A8" w14:textId="77777777" w:rsidR="0099636C" w:rsidRDefault="00613566">
            <w:pPr>
              <w:spacing w:after="0"/>
              <w:jc w:val="right"/>
            </w:pPr>
            <w:r>
              <w:rPr>
                <w:color w:val="000000"/>
              </w:rPr>
              <w:t>958.000,00</w:t>
            </w:r>
          </w:p>
        </w:tc>
        <w:tc>
          <w:tcPr>
            <w:tcW w:w="1462" w:type="dxa"/>
            <w:tcMar>
              <w:top w:w="15" w:type="dxa"/>
              <w:left w:w="53" w:type="dxa"/>
              <w:bottom w:w="15" w:type="dxa"/>
              <w:right w:w="53" w:type="dxa"/>
            </w:tcMar>
            <w:vAlign w:val="bottom"/>
          </w:tcPr>
          <w:p w14:paraId="17B2E07D" w14:textId="77777777" w:rsidR="0099636C" w:rsidRDefault="00613566">
            <w:pPr>
              <w:spacing w:after="0"/>
              <w:jc w:val="right"/>
            </w:pPr>
            <w:r>
              <w:rPr>
                <w:color w:val="000000"/>
              </w:rPr>
              <w:t>0,23%</w:t>
            </w:r>
          </w:p>
        </w:tc>
      </w:tr>
      <w:tr w:rsidR="0099636C" w14:paraId="634EAF7E" w14:textId="77777777" w:rsidTr="00613566">
        <w:trPr>
          <w:trHeight w:val="300"/>
          <w:tblCellSpacing w:w="0" w:type="nil"/>
          <w:jc w:val="center"/>
        </w:trPr>
        <w:tc>
          <w:tcPr>
            <w:tcW w:w="7093" w:type="dxa"/>
            <w:tcMar>
              <w:top w:w="15" w:type="dxa"/>
              <w:left w:w="53" w:type="dxa"/>
              <w:bottom w:w="15" w:type="dxa"/>
              <w:right w:w="53" w:type="dxa"/>
            </w:tcMar>
            <w:vAlign w:val="bottom"/>
          </w:tcPr>
          <w:p w14:paraId="6A3E51F4" w14:textId="77777777" w:rsidR="0099636C" w:rsidRDefault="00613566">
            <w:pPr>
              <w:spacing w:after="0"/>
            </w:pPr>
            <w:r>
              <w:rPr>
                <w:b/>
                <w:color w:val="000000"/>
              </w:rPr>
              <w:t>3 - RECEITAS INTRAORÇAMENTÁRIAS</w:t>
            </w:r>
          </w:p>
        </w:tc>
        <w:tc>
          <w:tcPr>
            <w:tcW w:w="2512" w:type="dxa"/>
            <w:tcMar>
              <w:top w:w="15" w:type="dxa"/>
              <w:left w:w="53" w:type="dxa"/>
              <w:bottom w:w="15" w:type="dxa"/>
              <w:right w:w="53" w:type="dxa"/>
            </w:tcMar>
            <w:vAlign w:val="bottom"/>
          </w:tcPr>
          <w:p w14:paraId="73DAF706" w14:textId="77777777" w:rsidR="0099636C" w:rsidRDefault="00613566">
            <w:pPr>
              <w:spacing w:after="0"/>
              <w:jc w:val="right"/>
            </w:pPr>
            <w:r>
              <w:rPr>
                <w:b/>
                <w:color w:val="000000"/>
              </w:rPr>
              <w:t>30.190.000,00</w:t>
            </w:r>
          </w:p>
        </w:tc>
        <w:tc>
          <w:tcPr>
            <w:tcW w:w="1462" w:type="dxa"/>
            <w:tcMar>
              <w:top w:w="15" w:type="dxa"/>
              <w:left w:w="53" w:type="dxa"/>
              <w:bottom w:w="15" w:type="dxa"/>
              <w:right w:w="53" w:type="dxa"/>
            </w:tcMar>
            <w:vAlign w:val="bottom"/>
          </w:tcPr>
          <w:p w14:paraId="324384E9" w14:textId="77777777" w:rsidR="0099636C" w:rsidRDefault="00613566">
            <w:pPr>
              <w:spacing w:after="0"/>
              <w:jc w:val="right"/>
            </w:pPr>
            <w:r>
              <w:rPr>
                <w:b/>
                <w:color w:val="000000"/>
              </w:rPr>
              <w:t>7,29%</w:t>
            </w:r>
          </w:p>
        </w:tc>
      </w:tr>
      <w:tr w:rsidR="0099636C" w14:paraId="31EDDBA7" w14:textId="77777777" w:rsidTr="00613566">
        <w:trPr>
          <w:trHeight w:val="300"/>
          <w:tblCellSpacing w:w="0" w:type="nil"/>
          <w:jc w:val="center"/>
        </w:trPr>
        <w:tc>
          <w:tcPr>
            <w:tcW w:w="7093" w:type="dxa"/>
            <w:tcMar>
              <w:top w:w="15" w:type="dxa"/>
              <w:left w:w="53" w:type="dxa"/>
              <w:bottom w:w="15" w:type="dxa"/>
              <w:right w:w="53" w:type="dxa"/>
            </w:tcMar>
            <w:vAlign w:val="bottom"/>
          </w:tcPr>
          <w:p w14:paraId="5CAF4E3D" w14:textId="77777777" w:rsidR="0099636C" w:rsidRDefault="00613566">
            <w:pPr>
              <w:spacing w:after="0"/>
            </w:pPr>
            <w:r>
              <w:rPr>
                <w:b/>
                <w:color w:val="000000"/>
              </w:rPr>
              <w:t>4 - DEDUÇÕES DA RECEITA</w:t>
            </w:r>
          </w:p>
        </w:tc>
        <w:tc>
          <w:tcPr>
            <w:tcW w:w="2512" w:type="dxa"/>
            <w:tcMar>
              <w:top w:w="15" w:type="dxa"/>
              <w:left w:w="53" w:type="dxa"/>
              <w:bottom w:w="15" w:type="dxa"/>
              <w:right w:w="53" w:type="dxa"/>
            </w:tcMar>
            <w:vAlign w:val="bottom"/>
          </w:tcPr>
          <w:p w14:paraId="4C594F5A" w14:textId="77777777" w:rsidR="0099636C" w:rsidRDefault="00613566">
            <w:pPr>
              <w:spacing w:after="0"/>
              <w:jc w:val="right"/>
            </w:pPr>
            <w:r>
              <w:rPr>
                <w:b/>
                <w:color w:val="FF0000"/>
              </w:rPr>
              <w:t xml:space="preserve"> (35.018.400,00)</w:t>
            </w:r>
          </w:p>
        </w:tc>
        <w:tc>
          <w:tcPr>
            <w:tcW w:w="1462" w:type="dxa"/>
            <w:tcMar>
              <w:top w:w="15" w:type="dxa"/>
              <w:left w:w="53" w:type="dxa"/>
              <w:bottom w:w="15" w:type="dxa"/>
              <w:right w:w="53" w:type="dxa"/>
            </w:tcMar>
            <w:vAlign w:val="bottom"/>
          </w:tcPr>
          <w:p w14:paraId="19461DB1" w14:textId="77777777" w:rsidR="0099636C" w:rsidRDefault="00613566">
            <w:pPr>
              <w:spacing w:after="0"/>
              <w:jc w:val="right"/>
            </w:pPr>
            <w:r>
              <w:rPr>
                <w:b/>
                <w:color w:val="FF0000"/>
              </w:rPr>
              <w:t>-8,46%</w:t>
            </w:r>
          </w:p>
        </w:tc>
      </w:tr>
      <w:tr w:rsidR="0099636C" w14:paraId="09C5B2AC" w14:textId="77777777" w:rsidTr="00613566">
        <w:trPr>
          <w:trHeight w:val="300"/>
          <w:tblCellSpacing w:w="0" w:type="nil"/>
          <w:jc w:val="center"/>
        </w:trPr>
        <w:tc>
          <w:tcPr>
            <w:tcW w:w="7093" w:type="dxa"/>
            <w:tcMar>
              <w:top w:w="15" w:type="dxa"/>
              <w:left w:w="53" w:type="dxa"/>
              <w:bottom w:w="15" w:type="dxa"/>
              <w:right w:w="53" w:type="dxa"/>
            </w:tcMar>
            <w:vAlign w:val="bottom"/>
          </w:tcPr>
          <w:p w14:paraId="0D107308" w14:textId="77777777" w:rsidR="0099636C" w:rsidRDefault="00613566">
            <w:pPr>
              <w:spacing w:after="0"/>
            </w:pPr>
            <w:r>
              <w:rPr>
                <w:b/>
                <w:color w:val="000000"/>
              </w:rPr>
              <w:t>TOTAL GERAL</w:t>
            </w:r>
          </w:p>
        </w:tc>
        <w:tc>
          <w:tcPr>
            <w:tcW w:w="2512" w:type="dxa"/>
            <w:tcMar>
              <w:top w:w="15" w:type="dxa"/>
              <w:left w:w="53" w:type="dxa"/>
              <w:bottom w:w="15" w:type="dxa"/>
              <w:right w:w="53" w:type="dxa"/>
            </w:tcMar>
            <w:vAlign w:val="bottom"/>
          </w:tcPr>
          <w:p w14:paraId="4B19B9D2" w14:textId="77777777" w:rsidR="0099636C" w:rsidRDefault="00613566">
            <w:pPr>
              <w:spacing w:after="0"/>
              <w:jc w:val="right"/>
            </w:pPr>
            <w:r>
              <w:rPr>
                <w:b/>
                <w:color w:val="000000"/>
              </w:rPr>
              <w:t>414.000.000,00</w:t>
            </w:r>
          </w:p>
        </w:tc>
        <w:tc>
          <w:tcPr>
            <w:tcW w:w="1462" w:type="dxa"/>
            <w:tcMar>
              <w:top w:w="15" w:type="dxa"/>
              <w:left w:w="53" w:type="dxa"/>
              <w:bottom w:w="15" w:type="dxa"/>
              <w:right w:w="53" w:type="dxa"/>
            </w:tcMar>
            <w:vAlign w:val="bottom"/>
          </w:tcPr>
          <w:p w14:paraId="34FA84CE" w14:textId="77777777" w:rsidR="0099636C" w:rsidRDefault="00613566">
            <w:pPr>
              <w:spacing w:after="0"/>
              <w:jc w:val="right"/>
            </w:pPr>
            <w:r>
              <w:rPr>
                <w:b/>
                <w:color w:val="000000"/>
              </w:rPr>
              <w:t>100,00%</w:t>
            </w:r>
          </w:p>
        </w:tc>
      </w:tr>
    </w:tbl>
    <w:p w14:paraId="0064302D" w14:textId="77777777" w:rsidR="0099636C" w:rsidRDefault="00613566">
      <w:pPr>
        <w:spacing w:after="0"/>
        <w:jc w:val="center"/>
      </w:pPr>
      <w:r>
        <w:rPr>
          <w:color w:val="000000"/>
        </w:rPr>
        <w:t xml:space="preserve">Seção II </w:t>
      </w:r>
    </w:p>
    <w:p w14:paraId="1E98F0F6" w14:textId="77777777" w:rsidR="0099636C" w:rsidRDefault="00613566">
      <w:pPr>
        <w:spacing w:after="0"/>
        <w:jc w:val="center"/>
      </w:pPr>
      <w:r>
        <w:rPr>
          <w:b/>
          <w:color w:val="000000"/>
        </w:rPr>
        <w:t>Da Fixação da Despesa</w:t>
      </w:r>
      <w:r>
        <w:rPr>
          <w:color w:val="000000"/>
        </w:rPr>
        <w:t xml:space="preserve"> </w:t>
      </w:r>
    </w:p>
    <w:p w14:paraId="6C60D333" w14:textId="77777777" w:rsidR="0099636C" w:rsidRDefault="00613566">
      <w:pPr>
        <w:spacing w:after="0"/>
        <w:jc w:val="both"/>
      </w:pPr>
      <w:r>
        <w:rPr>
          <w:color w:val="000000"/>
        </w:rPr>
        <w:t xml:space="preserve">         Art. 4º A Despesa Orçamentária, no mesmo valor da Receita Orçamentária, é fixada em R$ 414.000.000,00 (quatrocentos e quatorze milhões de reais) sendo:</w:t>
      </w:r>
    </w:p>
    <w:p w14:paraId="59933ED7" w14:textId="77777777" w:rsidR="0099636C" w:rsidRDefault="00613566">
      <w:pPr>
        <w:spacing w:after="0"/>
        <w:jc w:val="both"/>
      </w:pPr>
      <w:r>
        <w:rPr>
          <w:color w:val="000000"/>
        </w:rPr>
        <w:t xml:space="preserve">         I - </w:t>
      </w:r>
      <w:proofErr w:type="gramStart"/>
      <w:r>
        <w:rPr>
          <w:color w:val="000000"/>
        </w:rPr>
        <w:t>no</w:t>
      </w:r>
      <w:proofErr w:type="gramEnd"/>
      <w:r>
        <w:rPr>
          <w:color w:val="000000"/>
        </w:rPr>
        <w:t xml:space="preserve"> Poder Executivo, em R$</w:t>
      </w:r>
      <w:r>
        <w:rPr>
          <w:color w:val="000000"/>
        </w:rPr>
        <w:t xml:space="preserve"> 346.500.000,00 (trezentos e quarenta e seis milhões e quinhentos mil reais);</w:t>
      </w:r>
    </w:p>
    <w:p w14:paraId="00DEACEE" w14:textId="77777777" w:rsidR="0099636C" w:rsidRDefault="00613566">
      <w:pPr>
        <w:spacing w:after="0"/>
        <w:jc w:val="both"/>
      </w:pPr>
      <w:r>
        <w:rPr>
          <w:color w:val="000000"/>
        </w:rPr>
        <w:t xml:space="preserve">         II - </w:t>
      </w:r>
      <w:proofErr w:type="gramStart"/>
      <w:r>
        <w:rPr>
          <w:color w:val="000000"/>
        </w:rPr>
        <w:t>no</w:t>
      </w:r>
      <w:proofErr w:type="gramEnd"/>
      <w:r>
        <w:rPr>
          <w:color w:val="000000"/>
        </w:rPr>
        <w:t xml:space="preserve"> Poder Legislativo, em R$ 4.500.000,00 (quatro milhões e quinhentos mil reais);</w:t>
      </w:r>
    </w:p>
    <w:p w14:paraId="799CCC5F" w14:textId="77777777" w:rsidR="0099636C" w:rsidRDefault="00613566">
      <w:pPr>
        <w:spacing w:after="0"/>
        <w:jc w:val="both"/>
      </w:pPr>
      <w:r>
        <w:rPr>
          <w:color w:val="000000"/>
        </w:rPr>
        <w:t xml:space="preserve">         III - no Fundo de Previdência do Servidor, em R$ 63.000.000,00 (sessenta </w:t>
      </w:r>
      <w:r>
        <w:rPr>
          <w:color w:val="000000"/>
        </w:rPr>
        <w:t>e três milhões de reais).</w:t>
      </w:r>
    </w:p>
    <w:p w14:paraId="0F595546" w14:textId="1BB762A2" w:rsidR="0099636C" w:rsidRDefault="00613566">
      <w:pPr>
        <w:spacing w:after="0"/>
        <w:jc w:val="both"/>
        <w:rPr>
          <w:color w:val="000000"/>
        </w:rPr>
      </w:pPr>
      <w:r>
        <w:rPr>
          <w:color w:val="000000"/>
        </w:rPr>
        <w:t xml:space="preserve">         Art. 5º A despesa total fixada apresenta o seguinte desdobramento: </w:t>
      </w:r>
    </w:p>
    <w:p w14:paraId="654FA269" w14:textId="3B1693E0" w:rsidR="00613566" w:rsidRDefault="00613566">
      <w:pPr>
        <w:spacing w:after="0"/>
        <w:jc w:val="both"/>
      </w:pPr>
    </w:p>
    <w:p w14:paraId="6C33CA45" w14:textId="19E3A75D" w:rsidR="00613566" w:rsidRDefault="00613566">
      <w:pPr>
        <w:spacing w:after="0"/>
        <w:jc w:val="both"/>
      </w:pPr>
    </w:p>
    <w:p w14:paraId="4D985CA6" w14:textId="6927192E" w:rsidR="00613566" w:rsidRDefault="00613566">
      <w:pPr>
        <w:spacing w:after="0"/>
        <w:jc w:val="both"/>
      </w:pPr>
    </w:p>
    <w:p w14:paraId="1BFDE17D" w14:textId="77777777" w:rsidR="00613566" w:rsidRDefault="00613566">
      <w:pPr>
        <w:spacing w:after="0"/>
        <w:jc w:val="both"/>
      </w:pPr>
    </w:p>
    <w:tbl>
      <w:tblPr>
        <w:tblW w:w="0" w:type="auto"/>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2266"/>
        <w:gridCol w:w="1325"/>
      </w:tblGrid>
      <w:tr w:rsidR="0099636C" w14:paraId="03AAF94D" w14:textId="77777777" w:rsidTr="00613566">
        <w:trPr>
          <w:trHeight w:val="300"/>
          <w:tblCellSpacing w:w="0" w:type="nil"/>
          <w:jc w:val="center"/>
        </w:trPr>
        <w:tc>
          <w:tcPr>
            <w:tcW w:w="7080" w:type="dxa"/>
            <w:tcMar>
              <w:top w:w="15" w:type="dxa"/>
              <w:left w:w="53" w:type="dxa"/>
              <w:bottom w:w="15" w:type="dxa"/>
              <w:right w:w="53" w:type="dxa"/>
            </w:tcMar>
            <w:vAlign w:val="bottom"/>
          </w:tcPr>
          <w:p w14:paraId="712907B6" w14:textId="77777777" w:rsidR="0099636C" w:rsidRDefault="00613566">
            <w:pPr>
              <w:spacing w:after="0"/>
              <w:jc w:val="center"/>
            </w:pPr>
            <w:r>
              <w:rPr>
                <w:b/>
                <w:color w:val="000000"/>
              </w:rPr>
              <w:lastRenderedPageBreak/>
              <w:t>ESPECIFICAÇÃO</w:t>
            </w:r>
          </w:p>
        </w:tc>
        <w:tc>
          <w:tcPr>
            <w:tcW w:w="2520" w:type="dxa"/>
            <w:tcMar>
              <w:top w:w="15" w:type="dxa"/>
              <w:left w:w="53" w:type="dxa"/>
              <w:bottom w:w="15" w:type="dxa"/>
              <w:right w:w="53" w:type="dxa"/>
            </w:tcMar>
            <w:vAlign w:val="bottom"/>
          </w:tcPr>
          <w:p w14:paraId="4E19D48A" w14:textId="77777777" w:rsidR="0099636C" w:rsidRDefault="00613566">
            <w:pPr>
              <w:spacing w:after="0"/>
              <w:jc w:val="center"/>
            </w:pPr>
            <w:r>
              <w:rPr>
                <w:b/>
                <w:color w:val="000000"/>
              </w:rPr>
              <w:t xml:space="preserve"> VALOR EM R$ </w:t>
            </w:r>
          </w:p>
        </w:tc>
        <w:tc>
          <w:tcPr>
            <w:tcW w:w="1467" w:type="dxa"/>
            <w:tcMar>
              <w:top w:w="15" w:type="dxa"/>
              <w:left w:w="53" w:type="dxa"/>
              <w:bottom w:w="15" w:type="dxa"/>
              <w:right w:w="53" w:type="dxa"/>
            </w:tcMar>
            <w:vAlign w:val="bottom"/>
          </w:tcPr>
          <w:p w14:paraId="4FFBA30D" w14:textId="77777777" w:rsidR="0099636C" w:rsidRDefault="00613566">
            <w:pPr>
              <w:spacing w:after="0"/>
              <w:jc w:val="center"/>
            </w:pPr>
            <w:r>
              <w:rPr>
                <w:b/>
                <w:color w:val="000000"/>
              </w:rPr>
              <w:t xml:space="preserve"> % </w:t>
            </w:r>
          </w:p>
        </w:tc>
      </w:tr>
      <w:tr w:rsidR="0099636C" w14:paraId="1B4DE5C9" w14:textId="77777777" w:rsidTr="00613566">
        <w:trPr>
          <w:trHeight w:val="300"/>
          <w:tblCellSpacing w:w="0" w:type="nil"/>
          <w:jc w:val="center"/>
        </w:trPr>
        <w:tc>
          <w:tcPr>
            <w:tcW w:w="7080" w:type="dxa"/>
            <w:tcMar>
              <w:top w:w="15" w:type="dxa"/>
              <w:left w:w="53" w:type="dxa"/>
              <w:bottom w:w="15" w:type="dxa"/>
              <w:right w:w="53" w:type="dxa"/>
            </w:tcMar>
            <w:vAlign w:val="bottom"/>
          </w:tcPr>
          <w:p w14:paraId="512AAEB4" w14:textId="77777777" w:rsidR="0099636C" w:rsidRDefault="00613566">
            <w:pPr>
              <w:spacing w:after="0"/>
            </w:pPr>
            <w:r>
              <w:rPr>
                <w:b/>
                <w:color w:val="000000"/>
              </w:rPr>
              <w:t>1 - DESPESAS CORRENTES</w:t>
            </w:r>
          </w:p>
        </w:tc>
        <w:tc>
          <w:tcPr>
            <w:tcW w:w="2520" w:type="dxa"/>
            <w:tcMar>
              <w:top w:w="15" w:type="dxa"/>
              <w:left w:w="53" w:type="dxa"/>
              <w:bottom w:w="15" w:type="dxa"/>
              <w:right w:w="53" w:type="dxa"/>
            </w:tcMar>
            <w:vAlign w:val="bottom"/>
          </w:tcPr>
          <w:p w14:paraId="6D7CFDEA" w14:textId="77777777" w:rsidR="0099636C" w:rsidRDefault="00613566">
            <w:pPr>
              <w:spacing w:after="0"/>
              <w:jc w:val="right"/>
            </w:pPr>
            <w:r>
              <w:rPr>
                <w:b/>
                <w:color w:val="000000"/>
              </w:rPr>
              <w:t>370.309.600,00</w:t>
            </w:r>
          </w:p>
        </w:tc>
        <w:tc>
          <w:tcPr>
            <w:tcW w:w="1467" w:type="dxa"/>
            <w:tcMar>
              <w:top w:w="15" w:type="dxa"/>
              <w:left w:w="53" w:type="dxa"/>
              <w:bottom w:w="15" w:type="dxa"/>
              <w:right w:w="53" w:type="dxa"/>
            </w:tcMar>
            <w:vAlign w:val="bottom"/>
          </w:tcPr>
          <w:p w14:paraId="6F25E1A2" w14:textId="77777777" w:rsidR="0099636C" w:rsidRDefault="00613566">
            <w:pPr>
              <w:spacing w:after="0"/>
              <w:jc w:val="right"/>
            </w:pPr>
            <w:r>
              <w:rPr>
                <w:b/>
                <w:color w:val="000000"/>
              </w:rPr>
              <w:t>89,45%</w:t>
            </w:r>
          </w:p>
        </w:tc>
      </w:tr>
      <w:tr w:rsidR="0099636C" w14:paraId="34DFAF42" w14:textId="77777777" w:rsidTr="00613566">
        <w:trPr>
          <w:trHeight w:val="300"/>
          <w:tblCellSpacing w:w="0" w:type="nil"/>
          <w:jc w:val="center"/>
        </w:trPr>
        <w:tc>
          <w:tcPr>
            <w:tcW w:w="7080" w:type="dxa"/>
            <w:tcMar>
              <w:top w:w="15" w:type="dxa"/>
              <w:left w:w="53" w:type="dxa"/>
              <w:bottom w:w="15" w:type="dxa"/>
              <w:right w:w="53" w:type="dxa"/>
            </w:tcMar>
            <w:vAlign w:val="bottom"/>
          </w:tcPr>
          <w:p w14:paraId="16751315" w14:textId="77777777" w:rsidR="0099636C" w:rsidRDefault="00613566">
            <w:pPr>
              <w:spacing w:after="0"/>
            </w:pPr>
            <w:r>
              <w:rPr>
                <w:color w:val="000000"/>
              </w:rPr>
              <w:t>Pessoal e Encargos Sociais</w:t>
            </w:r>
          </w:p>
        </w:tc>
        <w:tc>
          <w:tcPr>
            <w:tcW w:w="2520" w:type="dxa"/>
            <w:tcMar>
              <w:top w:w="15" w:type="dxa"/>
              <w:left w:w="53" w:type="dxa"/>
              <w:bottom w:w="15" w:type="dxa"/>
              <w:right w:w="53" w:type="dxa"/>
            </w:tcMar>
            <w:vAlign w:val="bottom"/>
          </w:tcPr>
          <w:p w14:paraId="2469D5E9" w14:textId="77777777" w:rsidR="0099636C" w:rsidRDefault="00613566">
            <w:pPr>
              <w:spacing w:after="0"/>
              <w:jc w:val="right"/>
            </w:pPr>
            <w:r>
              <w:rPr>
                <w:color w:val="000000"/>
              </w:rPr>
              <w:t>182.181.000,00</w:t>
            </w:r>
          </w:p>
        </w:tc>
        <w:tc>
          <w:tcPr>
            <w:tcW w:w="1467" w:type="dxa"/>
            <w:tcMar>
              <w:top w:w="15" w:type="dxa"/>
              <w:left w:w="53" w:type="dxa"/>
              <w:bottom w:w="15" w:type="dxa"/>
              <w:right w:w="53" w:type="dxa"/>
            </w:tcMar>
            <w:vAlign w:val="bottom"/>
          </w:tcPr>
          <w:p w14:paraId="0B4017DA" w14:textId="77777777" w:rsidR="0099636C" w:rsidRDefault="00613566">
            <w:pPr>
              <w:spacing w:after="0"/>
              <w:jc w:val="right"/>
            </w:pPr>
            <w:r>
              <w:rPr>
                <w:color w:val="000000"/>
              </w:rPr>
              <w:t>44,00%</w:t>
            </w:r>
          </w:p>
        </w:tc>
      </w:tr>
      <w:tr w:rsidR="0099636C" w14:paraId="60DA27D4" w14:textId="77777777" w:rsidTr="00613566">
        <w:trPr>
          <w:trHeight w:val="300"/>
          <w:tblCellSpacing w:w="0" w:type="nil"/>
          <w:jc w:val="center"/>
        </w:trPr>
        <w:tc>
          <w:tcPr>
            <w:tcW w:w="7080" w:type="dxa"/>
            <w:tcMar>
              <w:top w:w="15" w:type="dxa"/>
              <w:left w:w="53" w:type="dxa"/>
              <w:bottom w:w="15" w:type="dxa"/>
              <w:right w:w="53" w:type="dxa"/>
            </w:tcMar>
            <w:vAlign w:val="bottom"/>
          </w:tcPr>
          <w:p w14:paraId="04533F23" w14:textId="77777777" w:rsidR="0099636C" w:rsidRDefault="00613566">
            <w:pPr>
              <w:spacing w:after="0"/>
            </w:pPr>
            <w:r>
              <w:rPr>
                <w:color w:val="000000"/>
              </w:rPr>
              <w:t xml:space="preserve">Juros e Encargos da </w:t>
            </w:r>
            <w:r>
              <w:rPr>
                <w:color w:val="000000"/>
              </w:rPr>
              <w:t>Dívida</w:t>
            </w:r>
          </w:p>
        </w:tc>
        <w:tc>
          <w:tcPr>
            <w:tcW w:w="2520" w:type="dxa"/>
            <w:tcMar>
              <w:top w:w="15" w:type="dxa"/>
              <w:left w:w="53" w:type="dxa"/>
              <w:bottom w:w="15" w:type="dxa"/>
              <w:right w:w="53" w:type="dxa"/>
            </w:tcMar>
            <w:vAlign w:val="bottom"/>
          </w:tcPr>
          <w:p w14:paraId="08A9D21F" w14:textId="77777777" w:rsidR="0099636C" w:rsidRDefault="00613566">
            <w:pPr>
              <w:spacing w:after="0"/>
              <w:jc w:val="right"/>
            </w:pPr>
            <w:r>
              <w:rPr>
                <w:color w:val="000000"/>
              </w:rPr>
              <w:t>6.069.000,00</w:t>
            </w:r>
          </w:p>
        </w:tc>
        <w:tc>
          <w:tcPr>
            <w:tcW w:w="1467" w:type="dxa"/>
            <w:tcMar>
              <w:top w:w="15" w:type="dxa"/>
              <w:left w:w="53" w:type="dxa"/>
              <w:bottom w:w="15" w:type="dxa"/>
              <w:right w:w="53" w:type="dxa"/>
            </w:tcMar>
            <w:vAlign w:val="bottom"/>
          </w:tcPr>
          <w:p w14:paraId="75EEAFC6" w14:textId="77777777" w:rsidR="0099636C" w:rsidRDefault="00613566">
            <w:pPr>
              <w:spacing w:after="0"/>
              <w:jc w:val="right"/>
            </w:pPr>
            <w:r>
              <w:rPr>
                <w:color w:val="000000"/>
              </w:rPr>
              <w:t>1,47%</w:t>
            </w:r>
          </w:p>
        </w:tc>
      </w:tr>
      <w:tr w:rsidR="0099636C" w14:paraId="19C2E3B3" w14:textId="77777777" w:rsidTr="00613566">
        <w:trPr>
          <w:trHeight w:val="300"/>
          <w:tblCellSpacing w:w="0" w:type="nil"/>
          <w:jc w:val="center"/>
        </w:trPr>
        <w:tc>
          <w:tcPr>
            <w:tcW w:w="7080" w:type="dxa"/>
            <w:tcMar>
              <w:top w:w="15" w:type="dxa"/>
              <w:left w:w="53" w:type="dxa"/>
              <w:bottom w:w="15" w:type="dxa"/>
              <w:right w:w="53" w:type="dxa"/>
            </w:tcMar>
            <w:vAlign w:val="bottom"/>
          </w:tcPr>
          <w:p w14:paraId="2C36D53F" w14:textId="77777777" w:rsidR="0099636C" w:rsidRDefault="00613566">
            <w:pPr>
              <w:spacing w:after="0"/>
            </w:pPr>
            <w:r>
              <w:rPr>
                <w:color w:val="000000"/>
              </w:rPr>
              <w:t>Outras Despesas Correntes</w:t>
            </w:r>
          </w:p>
        </w:tc>
        <w:tc>
          <w:tcPr>
            <w:tcW w:w="2520" w:type="dxa"/>
            <w:tcMar>
              <w:top w:w="15" w:type="dxa"/>
              <w:left w:w="53" w:type="dxa"/>
              <w:bottom w:w="15" w:type="dxa"/>
              <w:right w:w="53" w:type="dxa"/>
            </w:tcMar>
            <w:vAlign w:val="bottom"/>
          </w:tcPr>
          <w:p w14:paraId="4E9F9493" w14:textId="77777777" w:rsidR="0099636C" w:rsidRDefault="00613566">
            <w:pPr>
              <w:spacing w:after="0"/>
              <w:jc w:val="right"/>
            </w:pPr>
            <w:r>
              <w:rPr>
                <w:color w:val="000000"/>
              </w:rPr>
              <w:t>182.059.600,00</w:t>
            </w:r>
          </w:p>
        </w:tc>
        <w:tc>
          <w:tcPr>
            <w:tcW w:w="1467" w:type="dxa"/>
            <w:tcMar>
              <w:top w:w="15" w:type="dxa"/>
              <w:left w:w="53" w:type="dxa"/>
              <w:bottom w:w="15" w:type="dxa"/>
              <w:right w:w="53" w:type="dxa"/>
            </w:tcMar>
            <w:vAlign w:val="bottom"/>
          </w:tcPr>
          <w:p w14:paraId="5B139834" w14:textId="77777777" w:rsidR="0099636C" w:rsidRDefault="00613566">
            <w:pPr>
              <w:spacing w:after="0"/>
              <w:jc w:val="right"/>
            </w:pPr>
            <w:r>
              <w:rPr>
                <w:color w:val="000000"/>
              </w:rPr>
              <w:t>43,98%</w:t>
            </w:r>
          </w:p>
        </w:tc>
      </w:tr>
      <w:tr w:rsidR="0099636C" w14:paraId="7487FDAE" w14:textId="77777777" w:rsidTr="00613566">
        <w:trPr>
          <w:trHeight w:val="300"/>
          <w:tblCellSpacing w:w="0" w:type="nil"/>
          <w:jc w:val="center"/>
        </w:trPr>
        <w:tc>
          <w:tcPr>
            <w:tcW w:w="7080" w:type="dxa"/>
            <w:tcMar>
              <w:top w:w="15" w:type="dxa"/>
              <w:left w:w="53" w:type="dxa"/>
              <w:bottom w:w="15" w:type="dxa"/>
              <w:right w:w="53" w:type="dxa"/>
            </w:tcMar>
            <w:vAlign w:val="bottom"/>
          </w:tcPr>
          <w:p w14:paraId="64A61794" w14:textId="77777777" w:rsidR="0099636C" w:rsidRDefault="00613566">
            <w:pPr>
              <w:spacing w:after="0"/>
            </w:pPr>
            <w:r>
              <w:rPr>
                <w:b/>
                <w:color w:val="000000"/>
              </w:rPr>
              <w:t>2 - DESPESAS DE CAPITAL</w:t>
            </w:r>
          </w:p>
        </w:tc>
        <w:tc>
          <w:tcPr>
            <w:tcW w:w="2520" w:type="dxa"/>
            <w:tcMar>
              <w:top w:w="15" w:type="dxa"/>
              <w:left w:w="53" w:type="dxa"/>
              <w:bottom w:w="15" w:type="dxa"/>
              <w:right w:w="53" w:type="dxa"/>
            </w:tcMar>
            <w:vAlign w:val="bottom"/>
          </w:tcPr>
          <w:p w14:paraId="52E36287" w14:textId="77777777" w:rsidR="0099636C" w:rsidRDefault="00613566">
            <w:pPr>
              <w:spacing w:after="0"/>
              <w:jc w:val="right"/>
            </w:pPr>
            <w:r>
              <w:rPr>
                <w:b/>
                <w:color w:val="000000"/>
              </w:rPr>
              <w:t>30.590.400,00</w:t>
            </w:r>
          </w:p>
        </w:tc>
        <w:tc>
          <w:tcPr>
            <w:tcW w:w="1467" w:type="dxa"/>
            <w:tcMar>
              <w:top w:w="15" w:type="dxa"/>
              <w:left w:w="53" w:type="dxa"/>
              <w:bottom w:w="15" w:type="dxa"/>
              <w:right w:w="53" w:type="dxa"/>
            </w:tcMar>
            <w:vAlign w:val="bottom"/>
          </w:tcPr>
          <w:p w14:paraId="7847C61B" w14:textId="77777777" w:rsidR="0099636C" w:rsidRDefault="00613566">
            <w:pPr>
              <w:spacing w:after="0"/>
              <w:jc w:val="right"/>
            </w:pPr>
            <w:r>
              <w:rPr>
                <w:b/>
                <w:color w:val="000000"/>
              </w:rPr>
              <w:t>7,39%</w:t>
            </w:r>
          </w:p>
        </w:tc>
      </w:tr>
      <w:tr w:rsidR="0099636C" w14:paraId="35DE4345" w14:textId="77777777" w:rsidTr="00613566">
        <w:trPr>
          <w:trHeight w:val="300"/>
          <w:tblCellSpacing w:w="0" w:type="nil"/>
          <w:jc w:val="center"/>
        </w:trPr>
        <w:tc>
          <w:tcPr>
            <w:tcW w:w="7080" w:type="dxa"/>
            <w:tcMar>
              <w:top w:w="15" w:type="dxa"/>
              <w:left w:w="53" w:type="dxa"/>
              <w:bottom w:w="15" w:type="dxa"/>
              <w:right w:w="53" w:type="dxa"/>
            </w:tcMar>
            <w:vAlign w:val="bottom"/>
          </w:tcPr>
          <w:p w14:paraId="201BF06D" w14:textId="77777777" w:rsidR="0099636C" w:rsidRDefault="00613566">
            <w:pPr>
              <w:spacing w:after="0"/>
            </w:pPr>
            <w:r>
              <w:rPr>
                <w:color w:val="000000"/>
              </w:rPr>
              <w:t>Investimentos</w:t>
            </w:r>
          </w:p>
        </w:tc>
        <w:tc>
          <w:tcPr>
            <w:tcW w:w="2520" w:type="dxa"/>
            <w:tcMar>
              <w:top w:w="15" w:type="dxa"/>
              <w:left w:w="53" w:type="dxa"/>
              <w:bottom w:w="15" w:type="dxa"/>
              <w:right w:w="53" w:type="dxa"/>
            </w:tcMar>
            <w:vAlign w:val="bottom"/>
          </w:tcPr>
          <w:p w14:paraId="6AE354F2" w14:textId="77777777" w:rsidR="0099636C" w:rsidRDefault="00613566">
            <w:pPr>
              <w:spacing w:after="0"/>
              <w:jc w:val="right"/>
            </w:pPr>
            <w:r>
              <w:rPr>
                <w:color w:val="000000"/>
              </w:rPr>
              <w:t>24.560.400,00</w:t>
            </w:r>
          </w:p>
        </w:tc>
        <w:tc>
          <w:tcPr>
            <w:tcW w:w="1467" w:type="dxa"/>
            <w:tcMar>
              <w:top w:w="15" w:type="dxa"/>
              <w:left w:w="53" w:type="dxa"/>
              <w:bottom w:w="15" w:type="dxa"/>
              <w:right w:w="53" w:type="dxa"/>
            </w:tcMar>
            <w:vAlign w:val="bottom"/>
          </w:tcPr>
          <w:p w14:paraId="2E3EAF77" w14:textId="77777777" w:rsidR="0099636C" w:rsidRDefault="00613566">
            <w:pPr>
              <w:spacing w:after="0"/>
              <w:jc w:val="right"/>
            </w:pPr>
            <w:r>
              <w:rPr>
                <w:color w:val="000000"/>
              </w:rPr>
              <w:t>5,93%</w:t>
            </w:r>
          </w:p>
        </w:tc>
      </w:tr>
      <w:tr w:rsidR="0099636C" w14:paraId="6CAAF34B" w14:textId="77777777" w:rsidTr="00613566">
        <w:trPr>
          <w:trHeight w:val="300"/>
          <w:tblCellSpacing w:w="0" w:type="nil"/>
          <w:jc w:val="center"/>
        </w:trPr>
        <w:tc>
          <w:tcPr>
            <w:tcW w:w="7080" w:type="dxa"/>
            <w:tcMar>
              <w:top w:w="15" w:type="dxa"/>
              <w:left w:w="53" w:type="dxa"/>
              <w:bottom w:w="15" w:type="dxa"/>
              <w:right w:w="53" w:type="dxa"/>
            </w:tcMar>
            <w:vAlign w:val="bottom"/>
          </w:tcPr>
          <w:p w14:paraId="2AC77C25" w14:textId="77777777" w:rsidR="0099636C" w:rsidRDefault="00613566">
            <w:pPr>
              <w:spacing w:after="0"/>
            </w:pPr>
            <w:r>
              <w:rPr>
                <w:color w:val="000000"/>
              </w:rPr>
              <w:t>Inversões Financeiras</w:t>
            </w:r>
          </w:p>
        </w:tc>
        <w:tc>
          <w:tcPr>
            <w:tcW w:w="2520" w:type="dxa"/>
            <w:tcMar>
              <w:top w:w="15" w:type="dxa"/>
              <w:left w:w="53" w:type="dxa"/>
              <w:bottom w:w="15" w:type="dxa"/>
              <w:right w:w="53" w:type="dxa"/>
            </w:tcMar>
            <w:vAlign w:val="bottom"/>
          </w:tcPr>
          <w:p w14:paraId="41F25542" w14:textId="77777777" w:rsidR="0099636C" w:rsidRDefault="00613566">
            <w:pPr>
              <w:spacing w:after="0"/>
              <w:jc w:val="right"/>
            </w:pPr>
            <w:r>
              <w:rPr>
                <w:color w:val="000000"/>
              </w:rPr>
              <w:t>7.000,00</w:t>
            </w:r>
          </w:p>
        </w:tc>
        <w:tc>
          <w:tcPr>
            <w:tcW w:w="1467" w:type="dxa"/>
            <w:tcMar>
              <w:top w:w="15" w:type="dxa"/>
              <w:left w:w="53" w:type="dxa"/>
              <w:bottom w:w="15" w:type="dxa"/>
              <w:right w:w="53" w:type="dxa"/>
            </w:tcMar>
            <w:vAlign w:val="bottom"/>
          </w:tcPr>
          <w:p w14:paraId="08BD9933" w14:textId="77777777" w:rsidR="0099636C" w:rsidRDefault="00613566">
            <w:pPr>
              <w:spacing w:after="0"/>
              <w:jc w:val="right"/>
            </w:pPr>
            <w:r>
              <w:rPr>
                <w:color w:val="000000"/>
              </w:rPr>
              <w:t>0,00%</w:t>
            </w:r>
          </w:p>
        </w:tc>
      </w:tr>
      <w:tr w:rsidR="0099636C" w14:paraId="5F319229" w14:textId="77777777" w:rsidTr="00613566">
        <w:trPr>
          <w:trHeight w:val="300"/>
          <w:tblCellSpacing w:w="0" w:type="nil"/>
          <w:jc w:val="center"/>
        </w:trPr>
        <w:tc>
          <w:tcPr>
            <w:tcW w:w="7080" w:type="dxa"/>
            <w:tcMar>
              <w:top w:w="15" w:type="dxa"/>
              <w:left w:w="53" w:type="dxa"/>
              <w:bottom w:w="15" w:type="dxa"/>
              <w:right w:w="53" w:type="dxa"/>
            </w:tcMar>
            <w:vAlign w:val="bottom"/>
          </w:tcPr>
          <w:p w14:paraId="7544862B" w14:textId="77777777" w:rsidR="0099636C" w:rsidRDefault="00613566">
            <w:pPr>
              <w:spacing w:after="0"/>
            </w:pPr>
            <w:r>
              <w:rPr>
                <w:color w:val="000000"/>
              </w:rPr>
              <w:t>Amortização da Dívida</w:t>
            </w:r>
          </w:p>
        </w:tc>
        <w:tc>
          <w:tcPr>
            <w:tcW w:w="2520" w:type="dxa"/>
            <w:tcMar>
              <w:top w:w="15" w:type="dxa"/>
              <w:left w:w="53" w:type="dxa"/>
              <w:bottom w:w="15" w:type="dxa"/>
              <w:right w:w="53" w:type="dxa"/>
            </w:tcMar>
            <w:vAlign w:val="bottom"/>
          </w:tcPr>
          <w:p w14:paraId="60DC1E9F" w14:textId="77777777" w:rsidR="0099636C" w:rsidRDefault="00613566">
            <w:pPr>
              <w:spacing w:after="0"/>
              <w:jc w:val="right"/>
            </w:pPr>
            <w:r>
              <w:rPr>
                <w:color w:val="000000"/>
              </w:rPr>
              <w:t>6.023.000,00</w:t>
            </w:r>
          </w:p>
        </w:tc>
        <w:tc>
          <w:tcPr>
            <w:tcW w:w="1467" w:type="dxa"/>
            <w:tcMar>
              <w:top w:w="15" w:type="dxa"/>
              <w:left w:w="53" w:type="dxa"/>
              <w:bottom w:w="15" w:type="dxa"/>
              <w:right w:w="53" w:type="dxa"/>
            </w:tcMar>
            <w:vAlign w:val="bottom"/>
          </w:tcPr>
          <w:p w14:paraId="778FB577" w14:textId="77777777" w:rsidR="0099636C" w:rsidRDefault="00613566">
            <w:pPr>
              <w:spacing w:after="0"/>
              <w:jc w:val="right"/>
            </w:pPr>
            <w:r>
              <w:rPr>
                <w:color w:val="000000"/>
              </w:rPr>
              <w:t>1,46%</w:t>
            </w:r>
          </w:p>
        </w:tc>
      </w:tr>
      <w:tr w:rsidR="0099636C" w14:paraId="457F74B1" w14:textId="77777777" w:rsidTr="00613566">
        <w:trPr>
          <w:trHeight w:val="300"/>
          <w:tblCellSpacing w:w="0" w:type="nil"/>
          <w:jc w:val="center"/>
        </w:trPr>
        <w:tc>
          <w:tcPr>
            <w:tcW w:w="7080" w:type="dxa"/>
            <w:tcMar>
              <w:top w:w="15" w:type="dxa"/>
              <w:left w:w="53" w:type="dxa"/>
              <w:bottom w:w="15" w:type="dxa"/>
              <w:right w:w="53" w:type="dxa"/>
            </w:tcMar>
            <w:vAlign w:val="bottom"/>
          </w:tcPr>
          <w:p w14:paraId="0BC11985" w14:textId="77777777" w:rsidR="0099636C" w:rsidRDefault="00613566">
            <w:pPr>
              <w:spacing w:after="0"/>
            </w:pPr>
            <w:r>
              <w:rPr>
                <w:b/>
                <w:color w:val="000000"/>
              </w:rPr>
              <w:t xml:space="preserve">3 - RESERVA DO </w:t>
            </w:r>
            <w:r>
              <w:rPr>
                <w:b/>
                <w:color w:val="000000"/>
              </w:rPr>
              <w:t>RPPS</w:t>
            </w:r>
          </w:p>
        </w:tc>
        <w:tc>
          <w:tcPr>
            <w:tcW w:w="2520" w:type="dxa"/>
            <w:tcMar>
              <w:top w:w="15" w:type="dxa"/>
              <w:left w:w="53" w:type="dxa"/>
              <w:bottom w:w="15" w:type="dxa"/>
              <w:right w:w="53" w:type="dxa"/>
            </w:tcMar>
            <w:vAlign w:val="bottom"/>
          </w:tcPr>
          <w:p w14:paraId="09FCC901" w14:textId="77777777" w:rsidR="0099636C" w:rsidRDefault="00613566">
            <w:pPr>
              <w:spacing w:after="0"/>
              <w:jc w:val="right"/>
            </w:pPr>
            <w:r>
              <w:rPr>
                <w:b/>
                <w:color w:val="000000"/>
              </w:rPr>
              <w:t xml:space="preserve">        100.000,00 </w:t>
            </w:r>
          </w:p>
        </w:tc>
        <w:tc>
          <w:tcPr>
            <w:tcW w:w="1467" w:type="dxa"/>
            <w:tcMar>
              <w:top w:w="15" w:type="dxa"/>
              <w:left w:w="53" w:type="dxa"/>
              <w:bottom w:w="15" w:type="dxa"/>
              <w:right w:w="53" w:type="dxa"/>
            </w:tcMar>
            <w:vAlign w:val="bottom"/>
          </w:tcPr>
          <w:p w14:paraId="41B7DBFE" w14:textId="77777777" w:rsidR="0099636C" w:rsidRDefault="00613566">
            <w:pPr>
              <w:spacing w:after="0"/>
              <w:jc w:val="right"/>
            </w:pPr>
            <w:r>
              <w:rPr>
                <w:b/>
                <w:color w:val="000000"/>
              </w:rPr>
              <w:t>0,02%</w:t>
            </w:r>
          </w:p>
        </w:tc>
      </w:tr>
      <w:tr w:rsidR="0099636C" w14:paraId="0A2F379B" w14:textId="77777777" w:rsidTr="00613566">
        <w:trPr>
          <w:trHeight w:val="300"/>
          <w:tblCellSpacing w:w="0" w:type="nil"/>
          <w:jc w:val="center"/>
        </w:trPr>
        <w:tc>
          <w:tcPr>
            <w:tcW w:w="7080" w:type="dxa"/>
            <w:tcMar>
              <w:top w:w="15" w:type="dxa"/>
              <w:left w:w="53" w:type="dxa"/>
              <w:bottom w:w="15" w:type="dxa"/>
              <w:right w:w="53" w:type="dxa"/>
            </w:tcMar>
            <w:vAlign w:val="bottom"/>
          </w:tcPr>
          <w:p w14:paraId="45AC86D6" w14:textId="77777777" w:rsidR="0099636C" w:rsidRDefault="00613566">
            <w:pPr>
              <w:spacing w:after="0"/>
            </w:pPr>
            <w:r>
              <w:rPr>
                <w:b/>
                <w:color w:val="000000"/>
              </w:rPr>
              <w:t>4 - RESERVA DE CONTINGÊNCIA</w:t>
            </w:r>
          </w:p>
        </w:tc>
        <w:tc>
          <w:tcPr>
            <w:tcW w:w="2520" w:type="dxa"/>
            <w:tcMar>
              <w:top w:w="15" w:type="dxa"/>
              <w:left w:w="53" w:type="dxa"/>
              <w:bottom w:w="15" w:type="dxa"/>
              <w:right w:w="53" w:type="dxa"/>
            </w:tcMar>
            <w:vAlign w:val="bottom"/>
          </w:tcPr>
          <w:p w14:paraId="06BDA619" w14:textId="77777777" w:rsidR="0099636C" w:rsidRDefault="00613566">
            <w:pPr>
              <w:spacing w:after="0"/>
              <w:jc w:val="right"/>
            </w:pPr>
            <w:r>
              <w:rPr>
                <w:b/>
                <w:color w:val="000000"/>
              </w:rPr>
              <w:t>13.000.000,00</w:t>
            </w:r>
          </w:p>
        </w:tc>
        <w:tc>
          <w:tcPr>
            <w:tcW w:w="1467" w:type="dxa"/>
            <w:tcMar>
              <w:top w:w="15" w:type="dxa"/>
              <w:left w:w="53" w:type="dxa"/>
              <w:bottom w:w="15" w:type="dxa"/>
              <w:right w:w="53" w:type="dxa"/>
            </w:tcMar>
            <w:vAlign w:val="bottom"/>
          </w:tcPr>
          <w:p w14:paraId="3499C534" w14:textId="77777777" w:rsidR="0099636C" w:rsidRDefault="00613566">
            <w:pPr>
              <w:spacing w:after="0"/>
              <w:jc w:val="right"/>
            </w:pPr>
            <w:r>
              <w:rPr>
                <w:b/>
                <w:color w:val="000000"/>
              </w:rPr>
              <w:t>3,14%</w:t>
            </w:r>
          </w:p>
        </w:tc>
      </w:tr>
      <w:tr w:rsidR="0099636C" w14:paraId="32127198" w14:textId="77777777" w:rsidTr="00613566">
        <w:trPr>
          <w:trHeight w:val="300"/>
          <w:tblCellSpacing w:w="0" w:type="nil"/>
          <w:jc w:val="center"/>
        </w:trPr>
        <w:tc>
          <w:tcPr>
            <w:tcW w:w="7080" w:type="dxa"/>
            <w:tcMar>
              <w:top w:w="15" w:type="dxa"/>
              <w:left w:w="53" w:type="dxa"/>
              <w:bottom w:w="15" w:type="dxa"/>
              <w:right w:w="53" w:type="dxa"/>
            </w:tcMar>
            <w:vAlign w:val="bottom"/>
          </w:tcPr>
          <w:p w14:paraId="5074F55F" w14:textId="77777777" w:rsidR="0099636C" w:rsidRDefault="00613566">
            <w:pPr>
              <w:spacing w:after="0"/>
            </w:pPr>
            <w:r>
              <w:rPr>
                <w:b/>
                <w:color w:val="000000"/>
              </w:rPr>
              <w:t>TOTAL GERAL</w:t>
            </w:r>
          </w:p>
        </w:tc>
        <w:tc>
          <w:tcPr>
            <w:tcW w:w="2520" w:type="dxa"/>
            <w:tcMar>
              <w:top w:w="15" w:type="dxa"/>
              <w:left w:w="53" w:type="dxa"/>
              <w:bottom w:w="15" w:type="dxa"/>
              <w:right w:w="53" w:type="dxa"/>
            </w:tcMar>
            <w:vAlign w:val="bottom"/>
          </w:tcPr>
          <w:p w14:paraId="31F622F7" w14:textId="77777777" w:rsidR="0099636C" w:rsidRDefault="00613566">
            <w:pPr>
              <w:spacing w:after="0"/>
              <w:jc w:val="right"/>
            </w:pPr>
            <w:r>
              <w:rPr>
                <w:b/>
                <w:color w:val="000000"/>
              </w:rPr>
              <w:t>414.000.000,00</w:t>
            </w:r>
          </w:p>
        </w:tc>
        <w:tc>
          <w:tcPr>
            <w:tcW w:w="1467" w:type="dxa"/>
            <w:tcMar>
              <w:top w:w="15" w:type="dxa"/>
              <w:left w:w="53" w:type="dxa"/>
              <w:bottom w:w="15" w:type="dxa"/>
              <w:right w:w="53" w:type="dxa"/>
            </w:tcMar>
            <w:vAlign w:val="bottom"/>
          </w:tcPr>
          <w:p w14:paraId="4AA83552" w14:textId="77777777" w:rsidR="0099636C" w:rsidRDefault="00613566">
            <w:pPr>
              <w:spacing w:after="0"/>
              <w:jc w:val="right"/>
            </w:pPr>
            <w:r>
              <w:rPr>
                <w:b/>
                <w:color w:val="000000"/>
              </w:rPr>
              <w:t>100,00%</w:t>
            </w:r>
          </w:p>
        </w:tc>
      </w:tr>
    </w:tbl>
    <w:p w14:paraId="089C8FCA" w14:textId="77777777" w:rsidR="0099636C" w:rsidRDefault="00613566">
      <w:pPr>
        <w:spacing w:after="0"/>
        <w:jc w:val="center"/>
      </w:pPr>
      <w:r>
        <w:rPr>
          <w:color w:val="000000"/>
        </w:rPr>
        <w:t xml:space="preserve">Seção III </w:t>
      </w:r>
    </w:p>
    <w:p w14:paraId="7944FB5E" w14:textId="77777777" w:rsidR="0099636C" w:rsidRDefault="00613566">
      <w:pPr>
        <w:spacing w:after="0"/>
        <w:jc w:val="center"/>
      </w:pPr>
      <w:r>
        <w:rPr>
          <w:b/>
          <w:color w:val="000000"/>
        </w:rPr>
        <w:t>Da Autorização para Abertura de Créditos Suplementares</w:t>
      </w:r>
      <w:r>
        <w:rPr>
          <w:color w:val="000000"/>
        </w:rPr>
        <w:t xml:space="preserve"> </w:t>
      </w:r>
    </w:p>
    <w:p w14:paraId="666C2DD2" w14:textId="77777777" w:rsidR="0099636C" w:rsidRDefault="00613566">
      <w:pPr>
        <w:spacing w:after="0"/>
        <w:jc w:val="both"/>
      </w:pPr>
      <w:r>
        <w:rPr>
          <w:color w:val="000000"/>
        </w:rPr>
        <w:t xml:space="preserve">         Art. 6º Ficam autorizados:</w:t>
      </w:r>
    </w:p>
    <w:p w14:paraId="5F26C80C" w14:textId="77777777" w:rsidR="0099636C" w:rsidRDefault="00613566">
      <w:pPr>
        <w:spacing w:after="0"/>
        <w:jc w:val="both"/>
      </w:pPr>
      <w:r>
        <w:rPr>
          <w:color w:val="000000"/>
        </w:rPr>
        <w:t xml:space="preserve">         I - Ao Poder </w:t>
      </w:r>
      <w:r>
        <w:rPr>
          <w:color w:val="000000"/>
        </w:rPr>
        <w:t xml:space="preserve">Executivo, mediante Decreto, a abertura de Créditos Suplementares até o limite de 35% (trinta e cinco por cento) da sua despesa total fixada, compreendendo as operações </w:t>
      </w:r>
      <w:proofErr w:type="spellStart"/>
      <w:r>
        <w:rPr>
          <w:color w:val="000000"/>
        </w:rPr>
        <w:t>intraorçamentárias</w:t>
      </w:r>
      <w:proofErr w:type="spellEnd"/>
      <w:r>
        <w:rPr>
          <w:color w:val="000000"/>
        </w:rPr>
        <w:t>, com a finalidade de suprir insuficiências de dotações orçamentárias</w:t>
      </w:r>
      <w:r>
        <w:rPr>
          <w:color w:val="000000"/>
        </w:rPr>
        <w:t>, mediante a utilização de recursos provenientes de:</w:t>
      </w:r>
    </w:p>
    <w:p w14:paraId="6DD570BD" w14:textId="77777777" w:rsidR="0099636C" w:rsidRDefault="00613566">
      <w:pPr>
        <w:spacing w:after="0"/>
      </w:pPr>
      <w:r>
        <w:rPr>
          <w:color w:val="000000"/>
        </w:rPr>
        <w:t xml:space="preserve">         a) anulação parcial ou total de suas dotações;</w:t>
      </w:r>
    </w:p>
    <w:p w14:paraId="3052F095" w14:textId="77777777" w:rsidR="0099636C" w:rsidRDefault="00613566">
      <w:pPr>
        <w:spacing w:after="0"/>
      </w:pPr>
      <w:r>
        <w:rPr>
          <w:color w:val="000000"/>
        </w:rPr>
        <w:t xml:space="preserve">         b) incorporação de superávit financeiro do exercício anterior, bem como o que for gerado em 2023 a partir do cancelamento de restos a paga</w:t>
      </w:r>
      <w:r>
        <w:rPr>
          <w:color w:val="000000"/>
        </w:rPr>
        <w:t>r, obedecidas as respectivas fontes/destinações de recursos;</w:t>
      </w:r>
    </w:p>
    <w:p w14:paraId="78E44996" w14:textId="77777777" w:rsidR="0099636C" w:rsidRDefault="00613566">
      <w:pPr>
        <w:spacing w:after="0"/>
      </w:pPr>
      <w:r>
        <w:rPr>
          <w:color w:val="000000"/>
        </w:rPr>
        <w:t xml:space="preserve">         c) excesso de arrecadação, entendido como o saldo positivo das diferenças mês a mês entre a arrecadação prevista e a realizada, considerando-se, ainda, a tendência do exercício.</w:t>
      </w:r>
    </w:p>
    <w:p w14:paraId="68E7E7F1" w14:textId="77777777" w:rsidR="0099636C" w:rsidRDefault="00613566">
      <w:pPr>
        <w:spacing w:after="0"/>
        <w:jc w:val="both"/>
      </w:pPr>
      <w:r>
        <w:rPr>
          <w:color w:val="000000"/>
        </w:rPr>
        <w:t xml:space="preserve">        </w:t>
      </w:r>
      <w:r>
        <w:rPr>
          <w:color w:val="000000"/>
        </w:rPr>
        <w:t xml:space="preserve"> II - Ao Poder Legislativo, mediante Decreto, a abertura de Créditos Suplementares até o limite de 35% (trinta e cinco por cento) da sua despesa total fixada, compreendendo as operações </w:t>
      </w:r>
      <w:proofErr w:type="spellStart"/>
      <w:r>
        <w:rPr>
          <w:color w:val="000000"/>
        </w:rPr>
        <w:t>intraorçamentárias</w:t>
      </w:r>
      <w:proofErr w:type="spellEnd"/>
      <w:r>
        <w:rPr>
          <w:color w:val="000000"/>
        </w:rPr>
        <w:t xml:space="preserve">, com a finalidade de suprir insuficiências de suas </w:t>
      </w:r>
      <w:r>
        <w:rPr>
          <w:color w:val="000000"/>
        </w:rPr>
        <w:t>dotações orçamentárias, desde que sejam indicados como recursos a anulação parcial ou total de dotações do próprio Poder Legislativo.</w:t>
      </w:r>
    </w:p>
    <w:p w14:paraId="23B9EA7C" w14:textId="77777777" w:rsidR="0099636C" w:rsidRDefault="00613566">
      <w:pPr>
        <w:spacing w:after="0"/>
        <w:jc w:val="both"/>
      </w:pPr>
      <w:r>
        <w:rPr>
          <w:color w:val="000000"/>
        </w:rPr>
        <w:t xml:space="preserve">         Parágrafo único. As autorizações de que tratam os incisos I e II do caput abrangem também as suplementações de pr</w:t>
      </w:r>
      <w:r>
        <w:rPr>
          <w:color w:val="000000"/>
        </w:rPr>
        <w:t>ogramações que forem incluídas na Lei Orçamentária através de créditos especiais.</w:t>
      </w:r>
    </w:p>
    <w:p w14:paraId="2E655A09" w14:textId="77777777" w:rsidR="0099636C" w:rsidRDefault="00613566">
      <w:pPr>
        <w:spacing w:after="0"/>
        <w:jc w:val="both"/>
      </w:pPr>
      <w:r>
        <w:rPr>
          <w:color w:val="000000"/>
        </w:rPr>
        <w:t xml:space="preserve">         Art. 7º Além dos créditos suplementares autorizados no inciso I do artigo 6º, e sem prejuízo do limite nele estabelecido, fica o Poder Executivo também autorizado a </w:t>
      </w:r>
      <w:r>
        <w:rPr>
          <w:color w:val="000000"/>
        </w:rPr>
        <w:t>abrir créditos suplementares destinados ao reforço de:</w:t>
      </w:r>
    </w:p>
    <w:p w14:paraId="013BCD96" w14:textId="77777777" w:rsidR="0099636C" w:rsidRDefault="00613566">
      <w:pPr>
        <w:spacing w:after="0"/>
        <w:jc w:val="both"/>
      </w:pPr>
      <w:r>
        <w:rPr>
          <w:color w:val="000000"/>
        </w:rPr>
        <w:t xml:space="preserve">         I - </w:t>
      </w:r>
      <w:proofErr w:type="gramStart"/>
      <w:r>
        <w:rPr>
          <w:color w:val="000000"/>
        </w:rPr>
        <w:t>dotações</w:t>
      </w:r>
      <w:proofErr w:type="gramEnd"/>
      <w:r>
        <w:rPr>
          <w:color w:val="000000"/>
        </w:rPr>
        <w:t xml:space="preserve"> do Grupo de Natureza de Despesa 1 – Pessoal e Encargos Sociais, mediante a utilização de recursos oriundos de anulação de despesas consignadas ao mesmo grupo;</w:t>
      </w:r>
    </w:p>
    <w:p w14:paraId="6E4A9D73" w14:textId="77777777" w:rsidR="0099636C" w:rsidRDefault="00613566">
      <w:pPr>
        <w:spacing w:after="0"/>
        <w:jc w:val="both"/>
      </w:pPr>
      <w:r>
        <w:rPr>
          <w:color w:val="000000"/>
        </w:rPr>
        <w:lastRenderedPageBreak/>
        <w:t xml:space="preserve">         II - </w:t>
      </w:r>
      <w:proofErr w:type="gramStart"/>
      <w:r>
        <w:rPr>
          <w:color w:val="000000"/>
        </w:rPr>
        <w:t>dotações</w:t>
      </w:r>
      <w:proofErr w:type="gramEnd"/>
      <w:r>
        <w:rPr>
          <w:color w:val="000000"/>
        </w:rPr>
        <w:t xml:space="preserve"> de despesas classificáveis nos elementos 21 – Juros sobre a Dívida por Contrato, 22 – Outros Encargos sobre a Dívida por Contrato, 71 – Principal da Dívida Contratual Resgatado e 91 – Sentenças Judiciais;</w:t>
      </w:r>
    </w:p>
    <w:p w14:paraId="3F873A31" w14:textId="77777777" w:rsidR="0099636C" w:rsidRDefault="00613566">
      <w:pPr>
        <w:spacing w:after="0"/>
        <w:jc w:val="both"/>
      </w:pPr>
      <w:r>
        <w:rPr>
          <w:color w:val="000000"/>
        </w:rPr>
        <w:t xml:space="preserve">         III - dotações de despesas suport</w:t>
      </w:r>
      <w:r>
        <w:rPr>
          <w:color w:val="000000"/>
        </w:rPr>
        <w:t>adas com recursos provenientes de operações de crédito, alienação de bens móveis e imóveis e transferências voluntárias da União e do Estado.</w:t>
      </w:r>
    </w:p>
    <w:p w14:paraId="41D04118" w14:textId="77777777" w:rsidR="0099636C" w:rsidRDefault="00613566">
      <w:pPr>
        <w:spacing w:after="0"/>
        <w:jc w:val="center"/>
      </w:pPr>
      <w:r>
        <w:rPr>
          <w:color w:val="000000"/>
        </w:rPr>
        <w:t xml:space="preserve">CAPÍTULO III </w:t>
      </w:r>
    </w:p>
    <w:p w14:paraId="6D5E00A5" w14:textId="77777777" w:rsidR="0099636C" w:rsidRDefault="00613566">
      <w:pPr>
        <w:spacing w:after="0"/>
        <w:jc w:val="center"/>
      </w:pPr>
      <w:r>
        <w:rPr>
          <w:color w:val="000000"/>
        </w:rPr>
        <w:t xml:space="preserve">DISPOSIÇÕES GERAIS E FINAIS </w:t>
      </w:r>
    </w:p>
    <w:p w14:paraId="4A4BAC5B" w14:textId="77777777" w:rsidR="0099636C" w:rsidRDefault="00613566">
      <w:pPr>
        <w:spacing w:after="0"/>
        <w:jc w:val="both"/>
      </w:pPr>
      <w:r>
        <w:rPr>
          <w:color w:val="000000"/>
        </w:rPr>
        <w:t xml:space="preserve">         Art. 8º A utilização das dotações com origem de recursos prove</w:t>
      </w:r>
      <w:r>
        <w:rPr>
          <w:color w:val="000000"/>
        </w:rPr>
        <w:t>nientes de transferências voluntárias, operações de crédito e alienação de bens fica limitada aos efetivos recursos assegurados, nos termos do art. 19 da Lei de Diretrizes Orçamentárias para 2023.</w:t>
      </w:r>
    </w:p>
    <w:p w14:paraId="542006FC" w14:textId="77777777" w:rsidR="0099636C" w:rsidRDefault="00613566">
      <w:pPr>
        <w:spacing w:after="0"/>
        <w:jc w:val="both"/>
      </w:pPr>
      <w:r>
        <w:rPr>
          <w:color w:val="000000"/>
        </w:rPr>
        <w:t xml:space="preserve">         Art. 9º Obedecidas as disposições da Lei de Diretr</w:t>
      </w:r>
      <w:r>
        <w:rPr>
          <w:color w:val="000000"/>
        </w:rPr>
        <w:t>izes Orçamentárias, as transferências financeiras destinadas à Câmara Municipal serão disponibilizadas até o dia 20 de cada mês.</w:t>
      </w:r>
    </w:p>
    <w:p w14:paraId="6BB8C8E9" w14:textId="77777777" w:rsidR="0099636C" w:rsidRDefault="00613566">
      <w:pPr>
        <w:spacing w:after="0"/>
        <w:jc w:val="both"/>
      </w:pPr>
      <w:r>
        <w:rPr>
          <w:color w:val="000000"/>
        </w:rPr>
        <w:t xml:space="preserve">         Art. 10. O Prefeito Municipal, nos termos do que dispuser a Lei de Diretrizes Orçamentárias, poderá adotar mecanismos </w:t>
      </w:r>
      <w:r>
        <w:rPr>
          <w:color w:val="000000"/>
        </w:rPr>
        <w:t>para utilização das dotações, de forma a compatibilizar as despesas à efetiva realização das receitas.</w:t>
      </w:r>
    </w:p>
    <w:p w14:paraId="2B008AE8" w14:textId="77777777" w:rsidR="0099636C" w:rsidRDefault="00613566">
      <w:pPr>
        <w:spacing w:after="0"/>
        <w:jc w:val="both"/>
      </w:pPr>
      <w:r>
        <w:rPr>
          <w:color w:val="000000"/>
        </w:rPr>
        <w:t xml:space="preserve">         Art. 11. O Poder Executivo poderá efetuar alterações nos códigos e descrições das funções, subfunções, naturezas de receitas e despesas orçament</w:t>
      </w:r>
      <w:r>
        <w:rPr>
          <w:color w:val="000000"/>
        </w:rPr>
        <w:t>árias e fontes de recursos, visando adequá-los às alterações que venham a ser definidas pela Secretaria do Tesouro Nacional (STN) ou pelo Tribunal de Contas do Estado (TCE-RS).</w:t>
      </w:r>
    </w:p>
    <w:p w14:paraId="4EDDAE49" w14:textId="77777777" w:rsidR="0099636C" w:rsidRDefault="00613566">
      <w:pPr>
        <w:spacing w:after="0"/>
        <w:jc w:val="both"/>
      </w:pPr>
      <w:r>
        <w:rPr>
          <w:color w:val="000000"/>
        </w:rPr>
        <w:t xml:space="preserve">         Art. 12. Esta Lei entra em vigor na data de sua publicação.</w:t>
      </w:r>
    </w:p>
    <w:p w14:paraId="297415B7" w14:textId="35FE96B4" w:rsidR="0099636C" w:rsidRDefault="00613566" w:rsidP="00613566">
      <w:pPr>
        <w:spacing w:after="0"/>
        <w:ind w:firstLine="567"/>
        <w:rPr>
          <w:color w:val="000000"/>
        </w:rPr>
      </w:pPr>
      <w:r>
        <w:rPr>
          <w:color w:val="000000"/>
        </w:rPr>
        <w:t>GABINETE D</w:t>
      </w:r>
      <w:r>
        <w:rPr>
          <w:color w:val="000000"/>
        </w:rPr>
        <w:t>O PREFEITO MUNICIPAL DE FARROUPILHA, RS, 04 de novembro de 2022.</w:t>
      </w:r>
    </w:p>
    <w:p w14:paraId="02E84578" w14:textId="77777777" w:rsidR="00613566" w:rsidRDefault="00613566" w:rsidP="00613566">
      <w:pPr>
        <w:spacing w:after="0"/>
        <w:ind w:firstLine="567"/>
      </w:pPr>
    </w:p>
    <w:p w14:paraId="6571D63C" w14:textId="77777777" w:rsidR="0099636C" w:rsidRDefault="00613566">
      <w:pPr>
        <w:spacing w:after="0"/>
      </w:pPr>
      <w:r>
        <w:br/>
      </w:r>
      <w:r>
        <w:rPr>
          <w:rFonts w:ascii="Times New Roman" w:hAnsi="Times New Roman"/>
          <w:color w:val="000000"/>
          <w:sz w:val="22"/>
        </w:rPr>
        <w:t xml:space="preserve"> </w:t>
      </w:r>
    </w:p>
    <w:p w14:paraId="5B34A3F2" w14:textId="77777777" w:rsidR="0099636C" w:rsidRDefault="00613566">
      <w:pPr>
        <w:spacing w:after="0"/>
        <w:jc w:val="center"/>
      </w:pPr>
      <w:r>
        <w:rPr>
          <w:color w:val="000000"/>
        </w:rPr>
        <w:t>FABIANO FELTRIN</w:t>
      </w:r>
      <w:r>
        <w:br/>
      </w:r>
      <w:r>
        <w:rPr>
          <w:color w:val="000000"/>
        </w:rPr>
        <w:t>Prefeito Municipal</w:t>
      </w:r>
    </w:p>
    <w:p w14:paraId="0D826730" w14:textId="77777777" w:rsidR="0099636C" w:rsidRDefault="00613566">
      <w:pPr>
        <w:spacing w:after="0"/>
      </w:pPr>
      <w:r>
        <w:br w:type="page"/>
      </w:r>
    </w:p>
    <w:p w14:paraId="5EBD61F8" w14:textId="2BB257D6" w:rsidR="0099636C" w:rsidRPr="00613566" w:rsidRDefault="00613566">
      <w:pPr>
        <w:spacing w:after="0"/>
        <w:jc w:val="center"/>
        <w:rPr>
          <w:b/>
          <w:bCs/>
        </w:rPr>
      </w:pPr>
      <w:r w:rsidRPr="00613566">
        <w:rPr>
          <w:b/>
          <w:bCs/>
          <w:color w:val="000000"/>
        </w:rPr>
        <w:lastRenderedPageBreak/>
        <w:t>J</w:t>
      </w:r>
      <w:r>
        <w:rPr>
          <w:b/>
          <w:bCs/>
          <w:color w:val="000000"/>
        </w:rPr>
        <w:t xml:space="preserve"> </w:t>
      </w:r>
      <w:r w:rsidRPr="00613566">
        <w:rPr>
          <w:b/>
          <w:bCs/>
          <w:color w:val="000000"/>
        </w:rPr>
        <w:t>U</w:t>
      </w:r>
      <w:r>
        <w:rPr>
          <w:b/>
          <w:bCs/>
          <w:color w:val="000000"/>
        </w:rPr>
        <w:t xml:space="preserve"> </w:t>
      </w:r>
      <w:r w:rsidRPr="00613566">
        <w:rPr>
          <w:b/>
          <w:bCs/>
          <w:color w:val="000000"/>
        </w:rPr>
        <w:t>S</w:t>
      </w:r>
      <w:r>
        <w:rPr>
          <w:b/>
          <w:bCs/>
          <w:color w:val="000000"/>
        </w:rPr>
        <w:t xml:space="preserve"> </w:t>
      </w:r>
      <w:r w:rsidRPr="00613566">
        <w:rPr>
          <w:b/>
          <w:bCs/>
          <w:color w:val="000000"/>
        </w:rPr>
        <w:t>T</w:t>
      </w:r>
      <w:r>
        <w:rPr>
          <w:b/>
          <w:bCs/>
          <w:color w:val="000000"/>
        </w:rPr>
        <w:t xml:space="preserve"> </w:t>
      </w:r>
      <w:r w:rsidRPr="00613566">
        <w:rPr>
          <w:b/>
          <w:bCs/>
          <w:color w:val="000000"/>
        </w:rPr>
        <w:t>I</w:t>
      </w:r>
      <w:r>
        <w:rPr>
          <w:b/>
          <w:bCs/>
          <w:color w:val="000000"/>
        </w:rPr>
        <w:t xml:space="preserve"> </w:t>
      </w:r>
      <w:r w:rsidRPr="00613566">
        <w:rPr>
          <w:b/>
          <w:bCs/>
          <w:color w:val="000000"/>
        </w:rPr>
        <w:t>F</w:t>
      </w:r>
      <w:r>
        <w:rPr>
          <w:b/>
          <w:bCs/>
          <w:color w:val="000000"/>
        </w:rPr>
        <w:t xml:space="preserve"> </w:t>
      </w:r>
      <w:r w:rsidRPr="00613566">
        <w:rPr>
          <w:b/>
          <w:bCs/>
          <w:color w:val="000000"/>
        </w:rPr>
        <w:t>I</w:t>
      </w:r>
      <w:r>
        <w:rPr>
          <w:b/>
          <w:bCs/>
          <w:color w:val="000000"/>
        </w:rPr>
        <w:t xml:space="preserve"> </w:t>
      </w:r>
      <w:r w:rsidRPr="00613566">
        <w:rPr>
          <w:b/>
          <w:bCs/>
          <w:color w:val="000000"/>
        </w:rPr>
        <w:t>C</w:t>
      </w:r>
      <w:r>
        <w:rPr>
          <w:b/>
          <w:bCs/>
          <w:color w:val="000000"/>
        </w:rPr>
        <w:t xml:space="preserve"> </w:t>
      </w:r>
      <w:r w:rsidRPr="00613566">
        <w:rPr>
          <w:b/>
          <w:bCs/>
          <w:color w:val="000000"/>
        </w:rPr>
        <w:t>A</w:t>
      </w:r>
      <w:r>
        <w:rPr>
          <w:b/>
          <w:bCs/>
          <w:color w:val="000000"/>
        </w:rPr>
        <w:t xml:space="preserve"> </w:t>
      </w:r>
      <w:r w:rsidRPr="00613566">
        <w:rPr>
          <w:b/>
          <w:bCs/>
          <w:color w:val="000000"/>
        </w:rPr>
        <w:t>T</w:t>
      </w:r>
      <w:r>
        <w:rPr>
          <w:b/>
          <w:bCs/>
          <w:color w:val="000000"/>
        </w:rPr>
        <w:t xml:space="preserve"> </w:t>
      </w:r>
      <w:r w:rsidRPr="00613566">
        <w:rPr>
          <w:b/>
          <w:bCs/>
          <w:color w:val="000000"/>
        </w:rPr>
        <w:t>I</w:t>
      </w:r>
      <w:r>
        <w:rPr>
          <w:b/>
          <w:bCs/>
          <w:color w:val="000000"/>
        </w:rPr>
        <w:t xml:space="preserve"> </w:t>
      </w:r>
      <w:r w:rsidRPr="00613566">
        <w:rPr>
          <w:b/>
          <w:bCs/>
          <w:color w:val="000000"/>
        </w:rPr>
        <w:t>V</w:t>
      </w:r>
      <w:r>
        <w:rPr>
          <w:b/>
          <w:bCs/>
          <w:color w:val="000000"/>
        </w:rPr>
        <w:t xml:space="preserve"> </w:t>
      </w:r>
      <w:r w:rsidRPr="00613566">
        <w:rPr>
          <w:b/>
          <w:bCs/>
          <w:color w:val="000000"/>
        </w:rPr>
        <w:t xml:space="preserve">A </w:t>
      </w:r>
    </w:p>
    <w:p w14:paraId="22645684" w14:textId="77777777" w:rsidR="0099636C" w:rsidRDefault="0099636C">
      <w:pPr>
        <w:spacing w:after="0"/>
        <w:jc w:val="center"/>
      </w:pPr>
    </w:p>
    <w:p w14:paraId="7E57BD3F" w14:textId="77777777" w:rsidR="0099636C" w:rsidRDefault="00613566" w:rsidP="00613566">
      <w:pPr>
        <w:spacing w:after="0"/>
        <w:ind w:firstLine="567"/>
        <w:jc w:val="both"/>
      </w:pPr>
      <w:r>
        <w:rPr>
          <w:color w:val="000000"/>
        </w:rPr>
        <w:t>Senhor Presidente,</w:t>
      </w:r>
    </w:p>
    <w:p w14:paraId="07041C0A" w14:textId="6965E25E" w:rsidR="0099636C" w:rsidRDefault="00613566" w:rsidP="00613566">
      <w:pPr>
        <w:spacing w:after="0"/>
        <w:ind w:firstLine="567"/>
        <w:jc w:val="both"/>
        <w:rPr>
          <w:color w:val="000000"/>
        </w:rPr>
      </w:pPr>
      <w:r>
        <w:rPr>
          <w:color w:val="000000"/>
        </w:rPr>
        <w:t>Senhores Vereadores:</w:t>
      </w:r>
    </w:p>
    <w:p w14:paraId="04AA15D4" w14:textId="77777777" w:rsidR="00613566" w:rsidRDefault="00613566" w:rsidP="00613566">
      <w:pPr>
        <w:spacing w:after="0"/>
        <w:ind w:firstLine="567"/>
        <w:jc w:val="both"/>
      </w:pPr>
    </w:p>
    <w:p w14:paraId="43B472BD" w14:textId="77777777" w:rsidR="0099636C" w:rsidRDefault="00613566" w:rsidP="00613566">
      <w:pPr>
        <w:spacing w:after="0"/>
        <w:ind w:firstLine="567"/>
        <w:jc w:val="both"/>
      </w:pPr>
      <w:r>
        <w:rPr>
          <w:color w:val="000000"/>
        </w:rPr>
        <w:t>Cumprimentamos os ilustres integrantes do Parlamento Municipal, ao mesmo tempo em que encaminha</w:t>
      </w:r>
      <w:r>
        <w:rPr>
          <w:color w:val="000000"/>
        </w:rPr>
        <w:t>mos o anexo Projeto de Lei que trata da proposta orçamentária do Município para o exercício financeiro de 2023.</w:t>
      </w:r>
    </w:p>
    <w:p w14:paraId="7CA2A4F5" w14:textId="77777777" w:rsidR="0099636C" w:rsidRDefault="00613566" w:rsidP="00613566">
      <w:pPr>
        <w:spacing w:after="0"/>
        <w:ind w:firstLine="567"/>
        <w:jc w:val="both"/>
      </w:pPr>
      <w:r>
        <w:rPr>
          <w:color w:val="000000"/>
        </w:rPr>
        <w:t>O Orçamento Municipal, objeto deste Projeto de Lei, resulta de uma discussão técnico-científica acerca do provável desempenho econômico-financei</w:t>
      </w:r>
      <w:r>
        <w:rPr>
          <w:color w:val="000000"/>
        </w:rPr>
        <w:t xml:space="preserve">ro da gestão administrativa municipal, estimando a receita e fixando a despesa na igual importância de R$ 414.000.000,00 (quatrocentos e quatorze milhões de reais), para o exercício de 2023. </w:t>
      </w:r>
    </w:p>
    <w:p w14:paraId="069F4537" w14:textId="77777777" w:rsidR="0099636C" w:rsidRDefault="00613566" w:rsidP="00613566">
      <w:pPr>
        <w:spacing w:after="0"/>
        <w:ind w:firstLine="567"/>
        <w:jc w:val="both"/>
      </w:pPr>
      <w:r>
        <w:rPr>
          <w:color w:val="000000"/>
        </w:rPr>
        <w:t>Considerando tais previsões, oportuno destacar alguns pontos ess</w:t>
      </w:r>
      <w:r>
        <w:rPr>
          <w:color w:val="000000"/>
        </w:rPr>
        <w:t xml:space="preserve">enciais, detalhando maiores informações, a fim de demonstrar a viabilidade da proposta orçamentária. </w:t>
      </w:r>
    </w:p>
    <w:p w14:paraId="272F0C59" w14:textId="77777777" w:rsidR="0099636C" w:rsidRDefault="00613566" w:rsidP="00613566">
      <w:pPr>
        <w:spacing w:after="0"/>
        <w:ind w:firstLine="567"/>
        <w:jc w:val="both"/>
      </w:pPr>
      <w:r>
        <w:rPr>
          <w:color w:val="000000"/>
        </w:rPr>
        <w:t xml:space="preserve">A receita geral do Município, conforme acima assinalado, está prevista em R$ 414.000.000,00, distribuída na classificação de receitas correntes, receitas </w:t>
      </w:r>
      <w:r>
        <w:rPr>
          <w:color w:val="000000"/>
        </w:rPr>
        <w:t xml:space="preserve">de capital e receitas </w:t>
      </w:r>
      <w:proofErr w:type="spellStart"/>
      <w:r>
        <w:rPr>
          <w:color w:val="000000"/>
        </w:rPr>
        <w:t>intraorçamentárias</w:t>
      </w:r>
      <w:proofErr w:type="spellEnd"/>
      <w:r>
        <w:rPr>
          <w:color w:val="000000"/>
        </w:rPr>
        <w:t>. Importante ainda ressaltar que, no total da receita estão incluídas as previsões relativas aos Fundos Municipais instituídos, ou seja: ao Fundo de Previdência Social, ao Fundo Municipal da Criança e do Adolescente,</w:t>
      </w:r>
      <w:r>
        <w:rPr>
          <w:color w:val="000000"/>
        </w:rPr>
        <w:t xml:space="preserve"> ao Fundo Municipal de Assistência Social, ao Fundo Municipal do Idoso, ao Fundo Municipal da Saúde, ao Fundo Municipal da Habitação de Interesse Social, ao Fundo Municipal de Reequipamento do Corpo de Bombeiros, dentre outros.</w:t>
      </w:r>
    </w:p>
    <w:p w14:paraId="52F9831B" w14:textId="77777777" w:rsidR="0099636C" w:rsidRDefault="00613566" w:rsidP="00613566">
      <w:pPr>
        <w:spacing w:after="0"/>
        <w:ind w:firstLine="567"/>
        <w:jc w:val="both"/>
      </w:pPr>
      <w:r>
        <w:rPr>
          <w:color w:val="000000"/>
        </w:rPr>
        <w:t>As receitas correntes compre</w:t>
      </w:r>
      <w:r>
        <w:rPr>
          <w:color w:val="000000"/>
        </w:rPr>
        <w:t>endem as receitas próprias e as transferências correntes, ensejando a seguinte análise específica: a) receitas próprias, classificação que prevê a importância de R$ 131.755.000,00, através dos seguintes títulos de receita: receita tributária; receita patri</w:t>
      </w:r>
      <w:r>
        <w:rPr>
          <w:color w:val="000000"/>
        </w:rPr>
        <w:t>monial; receita de contribuições; receita de serviços e outras receitas correntes; b) transferências correntes, classificação cujas rubricas estimam a importância em R$ 266.280.400,00, revestindo-se de importância significativa para o orçamento proposto e,</w:t>
      </w:r>
      <w:r>
        <w:rPr>
          <w:color w:val="000000"/>
        </w:rPr>
        <w:t xml:space="preserve"> via de consequência, merecendo especial análise às consignações relativas ao Imposto Sobre Circulação de Mercadorias e Serviços - ICMS, Fundo de Participação dos Municípios - FPM e o FUNDEB - Fundo de Manutenção e Desenvolvimento da Educação Básica e de V</w:t>
      </w:r>
      <w:r>
        <w:rPr>
          <w:color w:val="000000"/>
        </w:rPr>
        <w:t>alorização dos Profissionais da Educação.</w:t>
      </w:r>
    </w:p>
    <w:p w14:paraId="4927754E" w14:textId="77777777" w:rsidR="0099636C" w:rsidRDefault="00613566" w:rsidP="00613566">
      <w:pPr>
        <w:spacing w:after="0"/>
        <w:ind w:firstLine="567"/>
        <w:jc w:val="both"/>
      </w:pPr>
      <w:r>
        <w:rPr>
          <w:color w:val="000000"/>
        </w:rPr>
        <w:t xml:space="preserve">As receitas </w:t>
      </w:r>
      <w:proofErr w:type="spellStart"/>
      <w:r>
        <w:rPr>
          <w:color w:val="000000"/>
        </w:rPr>
        <w:t>intraorçamentárias</w:t>
      </w:r>
      <w:proofErr w:type="spellEnd"/>
      <w:r>
        <w:rPr>
          <w:color w:val="000000"/>
        </w:rPr>
        <w:t xml:space="preserve"> estão previstas em R$ 30.190.000,00. O objetivo desta receita é anular os efeitos da dupla contagem nas chamadas transferências </w:t>
      </w:r>
      <w:proofErr w:type="spellStart"/>
      <w:r>
        <w:rPr>
          <w:color w:val="000000"/>
        </w:rPr>
        <w:t>intraorçamentárias</w:t>
      </w:r>
      <w:proofErr w:type="spellEnd"/>
      <w:r>
        <w:rPr>
          <w:color w:val="000000"/>
        </w:rPr>
        <w:t>, como é o caso das contribuições pat</w:t>
      </w:r>
      <w:r>
        <w:rPr>
          <w:color w:val="000000"/>
        </w:rPr>
        <w:t>ronais para o Regime Próprio de Previdência Social - RPPS.</w:t>
      </w:r>
    </w:p>
    <w:p w14:paraId="09CC0AA7" w14:textId="77777777" w:rsidR="0099636C" w:rsidRDefault="00613566" w:rsidP="00613566">
      <w:pPr>
        <w:spacing w:after="0"/>
        <w:ind w:firstLine="567"/>
        <w:jc w:val="both"/>
      </w:pPr>
      <w:r>
        <w:rPr>
          <w:color w:val="000000"/>
        </w:rPr>
        <w:t>A dedução da receita para formação do FUNDEB está prevista em R$ 32.717.400,00 e é destinada ao Fundo Nacional de Desenvolvimento da Educação Básica, no valor de 20%, retido diretamente na fonte pe</w:t>
      </w:r>
      <w:r>
        <w:rPr>
          <w:color w:val="000000"/>
        </w:rPr>
        <w:t>lo Estado e União, de origem do FPM, ITR, ICMS, IPVA e IPI Exportação e R$ 2.301.000,00 de outras reduções.</w:t>
      </w:r>
    </w:p>
    <w:p w14:paraId="73C16FEC" w14:textId="77777777" w:rsidR="0099636C" w:rsidRDefault="00613566" w:rsidP="00613566">
      <w:pPr>
        <w:spacing w:after="0"/>
        <w:ind w:firstLine="567"/>
        <w:jc w:val="both"/>
      </w:pPr>
      <w:r>
        <w:rPr>
          <w:color w:val="000000"/>
        </w:rPr>
        <w:t xml:space="preserve">As receitas de capital, cuja previsão é de R$ 20.793.000,00, são provenientes de operações de créditos, alienação de bens municipais, </w:t>
      </w:r>
      <w:r>
        <w:rPr>
          <w:color w:val="000000"/>
        </w:rPr>
        <w:t>transferências da União e do Estado, amortização de financiamentos concedidos pelo Município na forma da legislação específica, e outras receitas de capital.</w:t>
      </w:r>
    </w:p>
    <w:p w14:paraId="5EEFA6F8" w14:textId="77777777" w:rsidR="0099636C" w:rsidRDefault="00613566" w:rsidP="00613566">
      <w:pPr>
        <w:spacing w:after="0"/>
        <w:ind w:firstLine="567"/>
        <w:jc w:val="both"/>
      </w:pPr>
      <w:r>
        <w:rPr>
          <w:color w:val="000000"/>
        </w:rPr>
        <w:t xml:space="preserve">A despesa do Município para o exercício de 2023 está fixada em R$ 414.000.000,00 e distribuída em </w:t>
      </w:r>
      <w:r>
        <w:rPr>
          <w:color w:val="000000"/>
        </w:rPr>
        <w:t>dois grandes grupos: despesas correntes e despesas de capital.</w:t>
      </w:r>
    </w:p>
    <w:p w14:paraId="2AE56A36" w14:textId="77777777" w:rsidR="0099636C" w:rsidRDefault="00613566" w:rsidP="00613566">
      <w:pPr>
        <w:spacing w:after="0"/>
        <w:ind w:firstLine="567"/>
        <w:jc w:val="both"/>
      </w:pPr>
      <w:r>
        <w:rPr>
          <w:color w:val="000000"/>
        </w:rPr>
        <w:t xml:space="preserve">Efetivamente, o Projeto de Lei Orçamentária, através de suas peças técnicas, procura especificar com total clareza os valores de todas as suas consignações, tornando a composição dos </w:t>
      </w:r>
      <w:r>
        <w:rPr>
          <w:color w:val="000000"/>
        </w:rPr>
        <w:t>grupos transparente e compreensiva, dispensando assim, considerações excessivamente detalhadas.</w:t>
      </w:r>
    </w:p>
    <w:p w14:paraId="3E286598" w14:textId="77777777" w:rsidR="0099636C" w:rsidRDefault="00613566" w:rsidP="00613566">
      <w:pPr>
        <w:spacing w:after="0"/>
        <w:ind w:firstLine="567"/>
        <w:jc w:val="both"/>
      </w:pPr>
      <w:r>
        <w:rPr>
          <w:color w:val="000000"/>
        </w:rPr>
        <w:lastRenderedPageBreak/>
        <w:t>As metas e prioridades para o exercício do ano 2023 estão alinhadas à Lei de Diretrizes Orçamentárias em concordância, por sua vez, com a Lei que dispõe sobre o</w:t>
      </w:r>
      <w:r>
        <w:rPr>
          <w:color w:val="000000"/>
        </w:rPr>
        <w:t xml:space="preserve"> Plano Plurianual do período de 2022 a 2025. </w:t>
      </w:r>
    </w:p>
    <w:p w14:paraId="2ECE591A" w14:textId="77777777" w:rsidR="0099636C" w:rsidRDefault="00613566" w:rsidP="00613566">
      <w:pPr>
        <w:spacing w:after="0"/>
        <w:ind w:firstLine="567"/>
        <w:jc w:val="both"/>
      </w:pPr>
      <w:r>
        <w:rPr>
          <w:color w:val="000000"/>
        </w:rPr>
        <w:t>Assim sendo, submetemos o anexo Projeto de Lei à elevada apreciação de Vossas Excelências, solicitando sua decorrente aprovação.</w:t>
      </w:r>
    </w:p>
    <w:p w14:paraId="3D3D0EF7" w14:textId="0C142C27" w:rsidR="0099636C" w:rsidRDefault="00613566" w:rsidP="00613566">
      <w:pPr>
        <w:spacing w:after="0"/>
        <w:ind w:firstLine="567"/>
        <w:rPr>
          <w:color w:val="000000"/>
        </w:rPr>
      </w:pPr>
      <w:r>
        <w:rPr>
          <w:color w:val="000000"/>
        </w:rPr>
        <w:t>GABINETE DO PREFEITO MUNICIPAL DE FARROUPILHA, RS, 04 de novembro de 2022.</w:t>
      </w:r>
    </w:p>
    <w:p w14:paraId="7CEE883D" w14:textId="77777777" w:rsidR="00613566" w:rsidRDefault="00613566" w:rsidP="00613566">
      <w:pPr>
        <w:spacing w:after="0"/>
        <w:ind w:firstLine="567"/>
      </w:pPr>
    </w:p>
    <w:p w14:paraId="6A73EF5F" w14:textId="77777777" w:rsidR="0099636C" w:rsidRDefault="00613566" w:rsidP="00613566">
      <w:pPr>
        <w:spacing w:after="0"/>
        <w:ind w:firstLine="567"/>
      </w:pPr>
      <w:r>
        <w:br/>
      </w:r>
      <w:r>
        <w:rPr>
          <w:rFonts w:ascii="Times New Roman" w:hAnsi="Times New Roman"/>
          <w:color w:val="000000"/>
          <w:sz w:val="22"/>
        </w:rPr>
        <w:t xml:space="preserve"> </w:t>
      </w:r>
    </w:p>
    <w:p w14:paraId="7CB300F3" w14:textId="77777777" w:rsidR="0099636C" w:rsidRDefault="00613566">
      <w:pPr>
        <w:spacing w:after="0"/>
        <w:jc w:val="center"/>
      </w:pPr>
      <w:r>
        <w:rPr>
          <w:color w:val="000000"/>
        </w:rPr>
        <w:t>FAB</w:t>
      </w:r>
      <w:r>
        <w:rPr>
          <w:color w:val="000000"/>
        </w:rPr>
        <w:t>IANO FELTRIN</w:t>
      </w:r>
      <w:r>
        <w:br/>
      </w:r>
      <w:r>
        <w:rPr>
          <w:color w:val="000000"/>
        </w:rPr>
        <w:t>Prefeito Municipal</w:t>
      </w:r>
    </w:p>
    <w:sectPr w:rsidR="0099636C">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0708286">
    <w:abstractNumId w:val="1"/>
  </w:num>
  <w:num w:numId="2" w16cid:durableId="10041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6C"/>
    <w:rsid w:val="00613566"/>
    <w:rsid w:val="009963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822C"/>
  <w15:docId w15:val="{E8B63149-F639-42D9-BFAE-AF610235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9838</Characters>
  <Application>Microsoft Office Word</Application>
  <DocSecurity>0</DocSecurity>
  <Lines>81</Lines>
  <Paragraphs>23</Paragraphs>
  <ScaleCrop>false</ScaleCrop>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cp:lastPrinted>2022-11-03T19:10:00Z</cp:lastPrinted>
  <dcterms:created xsi:type="dcterms:W3CDTF">2022-11-03T19:11:00Z</dcterms:created>
  <dcterms:modified xsi:type="dcterms:W3CDTF">2022-11-03T19:11:00Z</dcterms:modified>
</cp:coreProperties>
</file>