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201BA" w14:textId="77777777" w:rsidR="00010CFD" w:rsidRDefault="00DC1DBC">
      <w:pPr>
        <w:spacing w:after="0"/>
        <w:jc w:val="center"/>
      </w:pPr>
      <w:r>
        <w:rPr>
          <w:b/>
          <w:color w:val="000000"/>
          <w:u w:val="single"/>
        </w:rPr>
        <w:t>PROJETO DE LEI Nº 59, DE 23 DE SETEMBRO DE 2022.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475"/>
        <w:gridCol w:w="4881"/>
      </w:tblGrid>
      <w:tr w:rsidR="00010CFD" w14:paraId="68966DEC" w14:textId="77777777">
        <w:trPr>
          <w:trHeight w:val="30"/>
          <w:tblCellSpacing w:w="0" w:type="auto"/>
        </w:trPr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8F30B" w14:textId="77777777" w:rsidR="00010CFD" w:rsidRDefault="00010CFD"/>
        </w:tc>
        <w:tc>
          <w:tcPr>
            <w:tcW w:w="68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0C8DC" w14:textId="77777777" w:rsidR="00010CFD" w:rsidRDefault="00DC1DBC">
            <w:pPr>
              <w:spacing w:after="0"/>
              <w:jc w:val="both"/>
            </w:pPr>
            <w:r>
              <w:rPr>
                <w:color w:val="000000"/>
              </w:rPr>
              <w:t>Altera as Leis Municipais nº 1.007, de 07-10-1974, e nº 3.079, de 22-12-2005, e dá outras providências.</w:t>
            </w:r>
          </w:p>
        </w:tc>
      </w:tr>
    </w:tbl>
    <w:p w14:paraId="6E03D3F1" w14:textId="77777777" w:rsidR="00010CFD" w:rsidRDefault="00DC1DBC">
      <w:pPr>
        <w:spacing w:after="0"/>
        <w:jc w:val="both"/>
      </w:pPr>
      <w:r>
        <w:rPr>
          <w:color w:val="000000"/>
        </w:rPr>
        <w:t xml:space="preserve">         O </w:t>
      </w:r>
      <w:r>
        <w:rPr>
          <w:b/>
          <w:color w:val="000000"/>
        </w:rPr>
        <w:t xml:space="preserve">PREFEITO MUNICIPAL DE FARROUPILHA, </w:t>
      </w:r>
      <w:r>
        <w:rPr>
          <w:color w:val="000000"/>
        </w:rPr>
        <w:t xml:space="preserve">RS, no uso das atribuições que lhe confere a Lei, </w:t>
      </w:r>
      <w:r>
        <w:rPr>
          <w:color w:val="000000"/>
        </w:rPr>
        <w:t>apresenta o seguinte Projeto de Lei:</w:t>
      </w:r>
    </w:p>
    <w:p w14:paraId="23E6C342" w14:textId="77777777" w:rsidR="00010CFD" w:rsidRDefault="00DC1DBC">
      <w:pPr>
        <w:spacing w:after="0"/>
        <w:jc w:val="both"/>
      </w:pPr>
      <w:r>
        <w:rPr>
          <w:color w:val="000000"/>
        </w:rPr>
        <w:t xml:space="preserve">         Art. 1º Fica incluído no art. 53 da Lei Municipal n° 1.007, de 07-10-1974, o parágrafo único, com a seguinte redação: </w:t>
      </w:r>
    </w:p>
    <w:p w14:paraId="66DD7472" w14:textId="1B68F872" w:rsidR="00010CFD" w:rsidRPr="00DC1DBC" w:rsidRDefault="00DC1DBC" w:rsidP="00DC1DBC">
      <w:pPr>
        <w:spacing w:after="0"/>
        <w:ind w:left="1134"/>
        <w:jc w:val="both"/>
      </w:pPr>
      <w:r w:rsidRPr="00DC1DBC">
        <w:t>"Art. 53. (...)</w:t>
      </w:r>
    </w:p>
    <w:p w14:paraId="58C91F77" w14:textId="61EA962A" w:rsidR="00010CFD" w:rsidRPr="00DC1DBC" w:rsidRDefault="00DC1DBC" w:rsidP="00DC1DBC">
      <w:pPr>
        <w:spacing w:after="0"/>
        <w:ind w:left="1134"/>
        <w:jc w:val="both"/>
      </w:pPr>
      <w:hyperlink r:id="rId5" w:anchor="15697">
        <w:r w:rsidRPr="00DC1DBC">
          <w:t>Parágrafo único.</w:t>
        </w:r>
      </w:hyperlink>
      <w:r>
        <w:t xml:space="preserve"> </w:t>
      </w:r>
      <w:r w:rsidRPr="00DC1DBC">
        <w:t>A taxa não incide nos atos de inscrição de licença para localização ou exercício de atividades, inclusive nos casos de dispensa de licenciamento." (NR)</w:t>
      </w:r>
    </w:p>
    <w:p w14:paraId="36C90135" w14:textId="77777777" w:rsidR="00010CFD" w:rsidRPr="00DC1DBC" w:rsidRDefault="00DC1DBC">
      <w:pPr>
        <w:spacing w:after="0"/>
        <w:jc w:val="both"/>
      </w:pPr>
      <w:r w:rsidRPr="00DC1DBC">
        <w:t xml:space="preserve">     </w:t>
      </w:r>
      <w:r w:rsidRPr="00DC1DBC">
        <w:t xml:space="preserve">    Art. 2º O art. 62 da Lei Municipal nº 1.007, de 07-12-1974, passa a vigorar com a seguinte redação:</w:t>
      </w:r>
    </w:p>
    <w:p w14:paraId="58401416" w14:textId="5C8FF419" w:rsidR="00010CFD" w:rsidRPr="00DC1DBC" w:rsidRDefault="00DC1DBC" w:rsidP="00DC1DBC">
      <w:pPr>
        <w:spacing w:after="0"/>
        <w:ind w:left="1134"/>
        <w:jc w:val="both"/>
      </w:pPr>
      <w:hyperlink r:id="rId6" w:anchor="15718">
        <w:r w:rsidRPr="00DC1DBC">
          <w:t>"Art. 62.</w:t>
        </w:r>
      </w:hyperlink>
      <w:r>
        <w:t xml:space="preserve"> </w:t>
      </w:r>
      <w:r w:rsidRPr="00DC1DBC">
        <w:t>Nas ativid</w:t>
      </w:r>
      <w:r w:rsidRPr="00DC1DBC">
        <w:t>ades sujeitas ao licenciamento anual e nas dispensadas de licenciamento, a taxa não incide no ano da inscrição para localização ou exercício de atividades." (NR)</w:t>
      </w:r>
    </w:p>
    <w:p w14:paraId="2D4F74EC" w14:textId="77777777" w:rsidR="00010CFD" w:rsidRDefault="00DC1DBC">
      <w:pPr>
        <w:spacing w:after="0"/>
        <w:jc w:val="both"/>
      </w:pPr>
      <w:r>
        <w:rPr>
          <w:color w:val="000000"/>
        </w:rPr>
        <w:t xml:space="preserve">         Art. 3º Revogadas a alínea </w:t>
      </w:r>
      <w:r>
        <w:rPr>
          <w:i/>
          <w:color w:val="000000"/>
        </w:rPr>
        <w:t>e</w:t>
      </w:r>
      <w:r>
        <w:rPr>
          <w:color w:val="000000"/>
        </w:rPr>
        <w:t xml:space="preserve"> do inciso II, e a alínea </w:t>
      </w:r>
      <w:r>
        <w:rPr>
          <w:i/>
          <w:color w:val="000000"/>
        </w:rPr>
        <w:t>g</w:t>
      </w:r>
      <w:r>
        <w:rPr>
          <w:color w:val="000000"/>
        </w:rPr>
        <w:t xml:space="preserve"> do inciso IV, ambas do art. 1</w:t>
      </w:r>
      <w:r>
        <w:rPr>
          <w:color w:val="000000"/>
        </w:rPr>
        <w:t xml:space="preserve">º da Lei Municipal nº 3.079, de 22-12-2005. </w:t>
      </w:r>
    </w:p>
    <w:p w14:paraId="5C454EE9" w14:textId="77777777" w:rsidR="00010CFD" w:rsidRDefault="00DC1DBC">
      <w:pPr>
        <w:spacing w:after="0"/>
        <w:jc w:val="both"/>
      </w:pPr>
      <w:r>
        <w:rPr>
          <w:color w:val="000000"/>
        </w:rPr>
        <w:t xml:space="preserve">         Art. 4º Esta Lei entrará em vigor em 1º-01-2023, com relação ao disposto nos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 1º e 2º, e na data de sua publicação, com relação ao disposto no art. 3º.</w:t>
      </w:r>
    </w:p>
    <w:p w14:paraId="69F11DEE" w14:textId="232D1B1F" w:rsidR="00010CFD" w:rsidRDefault="00DC1DBC" w:rsidP="00DC1DBC">
      <w:pPr>
        <w:spacing w:after="0"/>
        <w:ind w:firstLine="567"/>
        <w:rPr>
          <w:color w:val="000000"/>
        </w:rPr>
      </w:pPr>
      <w:r>
        <w:rPr>
          <w:color w:val="000000"/>
        </w:rPr>
        <w:t>GABINETE DO PREFEITO MUNICIPAL DE FARROUPILHA</w:t>
      </w:r>
      <w:r>
        <w:rPr>
          <w:color w:val="000000"/>
        </w:rPr>
        <w:t>, RS, 23 de setembro de 2022.</w:t>
      </w:r>
    </w:p>
    <w:p w14:paraId="1476499C" w14:textId="77777777" w:rsidR="00DC1DBC" w:rsidRDefault="00DC1DBC" w:rsidP="00DC1DBC">
      <w:pPr>
        <w:spacing w:after="0"/>
        <w:ind w:firstLine="567"/>
      </w:pPr>
    </w:p>
    <w:p w14:paraId="621612C5" w14:textId="77777777" w:rsidR="00010CFD" w:rsidRDefault="00DC1DBC">
      <w:pPr>
        <w:spacing w:after="0"/>
      </w:pPr>
      <w:r>
        <w:br/>
      </w:r>
      <w:r>
        <w:rPr>
          <w:color w:val="000000"/>
        </w:rPr>
        <w:t xml:space="preserve"> </w:t>
      </w:r>
    </w:p>
    <w:p w14:paraId="03DAEB35" w14:textId="77777777" w:rsidR="00010CFD" w:rsidRDefault="00DC1DBC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p w14:paraId="007E095A" w14:textId="77777777" w:rsidR="00010CFD" w:rsidRDefault="00DC1DBC">
      <w:pPr>
        <w:spacing w:after="0"/>
      </w:pPr>
      <w:r>
        <w:br w:type="page"/>
      </w:r>
    </w:p>
    <w:p w14:paraId="7E3984E7" w14:textId="3BEC3588" w:rsidR="00010CFD" w:rsidRDefault="00DC1DBC">
      <w:pPr>
        <w:spacing w:after="0"/>
        <w:jc w:val="center"/>
        <w:rPr>
          <w:b/>
          <w:bCs/>
          <w:color w:val="000000"/>
        </w:rPr>
      </w:pPr>
      <w:r w:rsidRPr="00DC1DBC">
        <w:rPr>
          <w:b/>
          <w:bCs/>
          <w:color w:val="000000"/>
        </w:rPr>
        <w:lastRenderedPageBreak/>
        <w:t>J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U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S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T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F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C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A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T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I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>V</w:t>
      </w:r>
      <w:r>
        <w:rPr>
          <w:b/>
          <w:bCs/>
          <w:color w:val="000000"/>
        </w:rPr>
        <w:t xml:space="preserve"> </w:t>
      </w:r>
      <w:r w:rsidRPr="00DC1DBC">
        <w:rPr>
          <w:b/>
          <w:bCs/>
          <w:color w:val="000000"/>
        </w:rPr>
        <w:t xml:space="preserve">A </w:t>
      </w:r>
    </w:p>
    <w:p w14:paraId="6FCE7CC4" w14:textId="77777777" w:rsidR="00DC1DBC" w:rsidRPr="00DC1DBC" w:rsidRDefault="00DC1DBC">
      <w:pPr>
        <w:spacing w:after="0"/>
        <w:jc w:val="center"/>
        <w:rPr>
          <w:b/>
          <w:bCs/>
        </w:rPr>
      </w:pPr>
    </w:p>
    <w:p w14:paraId="7FAC8F7F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Senhora Presidente,</w:t>
      </w:r>
    </w:p>
    <w:p w14:paraId="1A09F100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Senhores Vereadores:</w:t>
      </w:r>
    </w:p>
    <w:p w14:paraId="0A6F5C34" w14:textId="77777777" w:rsidR="00010CFD" w:rsidRDefault="00010CFD" w:rsidP="00DC1DBC">
      <w:pPr>
        <w:spacing w:before="0" w:after="0"/>
        <w:ind w:firstLine="567"/>
        <w:jc w:val="both"/>
      </w:pPr>
    </w:p>
    <w:p w14:paraId="6D30EA24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 xml:space="preserve">Na oportunidade em que cumprimentamos Vossa Excelência e seus Ilustres Pares, tomamos a liberdade de submeter à elevada </w:t>
      </w:r>
      <w:r>
        <w:rPr>
          <w:color w:val="000000"/>
        </w:rPr>
        <w:t>apreciação dessa Egrégia Câmara Municipal de Vereadores, o anexo Projeto de Lei, que altera as Leis Municipais nº 1.007, de 07-10-1974, e nº 3.079, de 22-12-2005, e dá outras providências.</w:t>
      </w:r>
    </w:p>
    <w:p w14:paraId="08934A36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A Lei Municipal nº 1.007/1974 que altera o Código Tributário do Mun</w:t>
      </w:r>
      <w:r>
        <w:rPr>
          <w:color w:val="000000"/>
        </w:rPr>
        <w:t xml:space="preserve">icípio, prevê a cobrança da Taxa de Fiscalização de Serviços Diversos (art. 52) e da Taxa de Licença para Localização ou Exercícios de Atividades (art. 56), cujos fatos geradores são idênticos </w:t>
      </w:r>
      <w:r>
        <w:rPr>
          <w:i/>
          <w:color w:val="000000"/>
        </w:rPr>
        <w:t>“exercício regular do poder de polícia”</w:t>
      </w:r>
      <w:r>
        <w:rPr>
          <w:color w:val="000000"/>
        </w:rPr>
        <w:t>, sendo distintos os cam</w:t>
      </w:r>
      <w:r>
        <w:rPr>
          <w:color w:val="000000"/>
        </w:rPr>
        <w:t>pos de incidência de cada tributo.</w:t>
      </w:r>
    </w:p>
    <w:p w14:paraId="1592B916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Atualmente, as referidas taxas incidem, simultaneamente, por ocasião da abertura de empresas, ou seja, no ato de abertura da empresa o empreendedor deve efetuar o pagamento das duas taxas, face a ocorrência do fato gerado</w:t>
      </w:r>
      <w:r>
        <w:rPr>
          <w:color w:val="000000"/>
        </w:rPr>
        <w:t>r.</w:t>
      </w:r>
    </w:p>
    <w:p w14:paraId="38D32EB3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Com relação à Taxa de Fiscalização de Serviços Diversos, há de ressaltar que a mesma foi instituída (1974) a partir realidade da época, bem como da necessidade fiscalizatória que ocorria no ato da abertura de empresas. No entanto, com o surgimento da Le</w:t>
      </w:r>
      <w:r>
        <w:rPr>
          <w:color w:val="000000"/>
        </w:rPr>
        <w:t>i de Liberdade Econômica, a qual prevê a dispensa de atos públicos de liberação para o início das atividades, no caso de empresas classificadas como baixo risco, o próprio licenciamento alvará municipal é dispensado, sem, contudo, dispensar a competência m</w:t>
      </w:r>
      <w:r>
        <w:rPr>
          <w:color w:val="000000"/>
        </w:rPr>
        <w:t>unicipal de fiscalizar.</w:t>
      </w:r>
    </w:p>
    <w:p w14:paraId="18B35B3A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O fato gerador da Taxa de Fiscalização de Serviços Diversos é o exercício regular do poder de polícia, nesse sentido, é cediço o entendimento de havendo a subsunção do fato à norma a referida taxa é devida, independentemente da emis</w:t>
      </w:r>
      <w:r>
        <w:rPr>
          <w:color w:val="000000"/>
        </w:rPr>
        <w:t>são de licenciamento, ou mesmo da fiscalização presencial.</w:t>
      </w:r>
    </w:p>
    <w:p w14:paraId="33BF7D83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Por outro lado, entendemos que, ainda que o campo de incidência da Taxa de Fiscalização de Serviços Diversos seja distinta da Taxa de Licença para Localização ou Exercício de Atividades, o fato ger</w:t>
      </w:r>
      <w:r>
        <w:rPr>
          <w:color w:val="000000"/>
        </w:rPr>
        <w:t>ador é o mesmo, motivo pelo qual propomos alteração legal para que seja afastada a incidência da Taxa de Fiscalização de Serviços Diversos no ato de abertura da empresa.</w:t>
      </w:r>
    </w:p>
    <w:p w14:paraId="543EE254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A Taxa de Licença para Localização ou Exercício de Atividades, instituída pela Lei Mun</w:t>
      </w:r>
      <w:r>
        <w:rPr>
          <w:color w:val="000000"/>
        </w:rPr>
        <w:t xml:space="preserve">icipal nº 1.007/1974, regulamentada pela alínea “g”, 1 e 2, inciso IV, art. 1º da Lei nº 3.079/2005 e alínea “g”, 1 e 2, inciso IV do art. 5º do Decreto nº 7.107/2021 (Taxa de Licença para Localização ou Exercício de Atividade Inicial), é cobrada de forma </w:t>
      </w:r>
      <w:r>
        <w:rPr>
          <w:color w:val="000000"/>
        </w:rPr>
        <w:t xml:space="preserve">proporcional, a contar da data de abertura da empresa. </w:t>
      </w:r>
    </w:p>
    <w:p w14:paraId="0B7DA542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 xml:space="preserve">Por outro lado, o Município de Farroupilha tem interesse em aderir ao programa Tudo Fácil Empresas RS, que é um programa criado pelo Governo do Rio Grande do Sul, envolvendo diversos </w:t>
      </w:r>
      <w:r>
        <w:rPr>
          <w:color w:val="000000"/>
        </w:rPr>
        <w:t>parceiros responsáveis pela formalização de uma empresa, em cujo programa será possível conseguir a formalização plena de uma empresa em minutos. No entanto, como pré-requisito à adesão ao referido programa os municípios deverão dispensar os contribuintes,</w:t>
      </w:r>
      <w:r>
        <w:rPr>
          <w:color w:val="000000"/>
        </w:rPr>
        <w:t xml:space="preserve"> classificados como baixo risco, do pagamento da taxa de alvará inicial, com vistas a dar maior celeridade no processo de registro e formalização de empresas.</w:t>
      </w:r>
    </w:p>
    <w:p w14:paraId="6E39884D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 xml:space="preserve">Desta forma, caso o Município de Farroupilha opte pela adesão ao programa Tudo Fácil Empresas RS </w:t>
      </w:r>
      <w:r>
        <w:rPr>
          <w:color w:val="000000"/>
        </w:rPr>
        <w:t>será necessário criar isenção específica para empresas classificadas como baixo risco da Taxa de Licença para Localização ou Exercício de Atividade Inicial.</w:t>
      </w:r>
    </w:p>
    <w:p w14:paraId="302EDC13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 xml:space="preserve">Considerando o critério de adesão ao programa Tudo Fácil Empresas RS e a necessidade de fomentar a </w:t>
      </w:r>
      <w:r>
        <w:rPr>
          <w:color w:val="000000"/>
        </w:rPr>
        <w:t xml:space="preserve">abertura de novas empresas, apresentamos a presente alteração legal para que seja elaborada lei de isenção da Taxa de Licença para Localização ou Exercício de Atividade Inicial, para </w:t>
      </w:r>
      <w:r>
        <w:rPr>
          <w:color w:val="000000"/>
        </w:rPr>
        <w:lastRenderedPageBreak/>
        <w:t>todas empresas, inclusive as classificadas como risco médio ou alto, deso</w:t>
      </w:r>
      <w:r>
        <w:rPr>
          <w:color w:val="000000"/>
        </w:rPr>
        <w:t xml:space="preserve">nerando os empreendedores do custo da referida taxa, no ano de abertura do empreendimento. </w:t>
      </w:r>
    </w:p>
    <w:p w14:paraId="10BD802D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 xml:space="preserve">Há de se ressaltar que a isenção se limita tão somente ao ano de abertura da empresa, sendo devida a Taxa de Licença para Localização ou Exercício de Atividade nas </w:t>
      </w:r>
      <w:r>
        <w:rPr>
          <w:color w:val="000000"/>
        </w:rPr>
        <w:t>renovações anuais, bem como as demais taxas inerentes a outros licenciamentos.</w:t>
      </w:r>
    </w:p>
    <w:p w14:paraId="50EAE576" w14:textId="33686E16" w:rsidR="00010CFD" w:rsidRDefault="00DC1DBC" w:rsidP="00DC1DBC">
      <w:pPr>
        <w:spacing w:after="0"/>
        <w:ind w:firstLine="567"/>
        <w:jc w:val="both"/>
        <w:rPr>
          <w:color w:val="000000"/>
        </w:rPr>
      </w:pPr>
      <w:r>
        <w:rPr>
          <w:color w:val="000000"/>
        </w:rPr>
        <w:t>O Quadro a baixo apresenta a estimativa do impacto orçamentário das sugestões apresentadas:</w:t>
      </w:r>
    </w:p>
    <w:p w14:paraId="4853FFF5" w14:textId="615F0771" w:rsidR="00DC1DBC" w:rsidRDefault="00DC1DBC" w:rsidP="00DC1DBC">
      <w:pPr>
        <w:spacing w:after="0"/>
        <w:ind w:firstLine="567"/>
        <w:jc w:val="center"/>
      </w:pPr>
      <w:r w:rsidRPr="00ED0888">
        <w:rPr>
          <w:rFonts w:cs="Arial"/>
          <w:noProof/>
        </w:rPr>
        <w:drawing>
          <wp:inline distT="0" distB="0" distL="0" distR="0" wp14:anchorId="15AD6B45" wp14:editId="38F8FB27">
            <wp:extent cx="4221480" cy="6870065"/>
            <wp:effectExtent l="0" t="0" r="762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1B2A9" w14:textId="76E7BDC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lastRenderedPageBreak/>
        <w:t>A partir das informações prestadas pela Secretaria de Desenvolvimento Econômico, Tur</w:t>
      </w:r>
      <w:r>
        <w:rPr>
          <w:color w:val="000000"/>
        </w:rPr>
        <w:t>ismo e Inovação, foram consideradas as seguintes premissas:</w:t>
      </w:r>
    </w:p>
    <w:p w14:paraId="4ADFF295" w14:textId="77777777" w:rsidR="00010CFD" w:rsidRDefault="00DC1DBC">
      <w:pPr>
        <w:numPr>
          <w:ilvl w:val="0"/>
          <w:numId w:val="3"/>
        </w:numPr>
        <w:spacing w:after="0"/>
        <w:jc w:val="both"/>
      </w:pPr>
      <w:r>
        <w:rPr>
          <w:color w:val="000000"/>
        </w:rPr>
        <w:t>Número médio de abertura de empresas por ano = 1.500;</w:t>
      </w:r>
    </w:p>
    <w:p w14:paraId="0C6A1B45" w14:textId="77777777" w:rsidR="00010CFD" w:rsidRDefault="00DC1DBC">
      <w:pPr>
        <w:numPr>
          <w:ilvl w:val="0"/>
          <w:numId w:val="3"/>
        </w:numPr>
        <w:spacing w:after="0"/>
        <w:jc w:val="both"/>
      </w:pPr>
      <w:r>
        <w:rPr>
          <w:color w:val="000000"/>
        </w:rPr>
        <w:t xml:space="preserve">Percentual de </w:t>
      </w:r>
      <w:proofErr w:type="spellStart"/>
      <w:r>
        <w:rPr>
          <w:color w:val="000000"/>
        </w:rPr>
        <w:t>MEIs</w:t>
      </w:r>
      <w:proofErr w:type="spellEnd"/>
      <w:r>
        <w:rPr>
          <w:color w:val="000000"/>
        </w:rPr>
        <w:t xml:space="preserve"> em relação à média de abertura de empresas por ano = 50%;</w:t>
      </w:r>
    </w:p>
    <w:p w14:paraId="5DA4D113" w14:textId="77777777" w:rsidR="00010CFD" w:rsidRDefault="00DC1DBC">
      <w:pPr>
        <w:numPr>
          <w:ilvl w:val="0"/>
          <w:numId w:val="3"/>
        </w:numPr>
        <w:spacing w:after="0"/>
        <w:jc w:val="both"/>
      </w:pPr>
      <w:r>
        <w:rPr>
          <w:color w:val="000000"/>
        </w:rPr>
        <w:t>Proporcionalidade da cobrança das taxas ao período de abertura da</w:t>
      </w:r>
      <w:r>
        <w:rPr>
          <w:color w:val="000000"/>
        </w:rPr>
        <w:t xml:space="preserve"> empresa a cada mês;</w:t>
      </w:r>
    </w:p>
    <w:p w14:paraId="16F5A9C9" w14:textId="77777777" w:rsidR="00010CFD" w:rsidRDefault="00DC1DBC">
      <w:pPr>
        <w:numPr>
          <w:ilvl w:val="0"/>
          <w:numId w:val="3"/>
        </w:numPr>
        <w:spacing w:after="0"/>
        <w:jc w:val="both"/>
      </w:pPr>
      <w:r>
        <w:rPr>
          <w:color w:val="000000"/>
        </w:rPr>
        <w:t>Não foi considerado efeito da sazonalidade no quantitativo da abertura de empresas.</w:t>
      </w:r>
    </w:p>
    <w:p w14:paraId="697F3C5D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 xml:space="preserve">Ademais, a Lei Municipal nº 3.079, de 22-12-2005, prevê a cobrança da Taxa de Expediente (gênero) – </w:t>
      </w:r>
      <w:r>
        <w:rPr>
          <w:i/>
          <w:color w:val="000000"/>
        </w:rPr>
        <w:t>“Requerimento, por unidade: (protocolo)”</w:t>
      </w:r>
      <w:r>
        <w:rPr>
          <w:color w:val="000000"/>
        </w:rPr>
        <w:t xml:space="preserve"> (espécie).</w:t>
      </w:r>
      <w:r>
        <w:rPr>
          <w:color w:val="000000"/>
        </w:rPr>
        <w:t xml:space="preserve"> Os valores constantes da referida Lei são atualizados, anualmente, via Decreto, no qual consta o rol das taxas cobradas pelo município (Decreto nº 7.107/2021 – atualmente em vigor).</w:t>
      </w:r>
    </w:p>
    <w:p w14:paraId="513BAC67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Ocorre que a cobrança da Taxa de Expediente por protocolo, tem por objeti</w:t>
      </w:r>
      <w:r>
        <w:rPr>
          <w:color w:val="000000"/>
        </w:rPr>
        <w:t xml:space="preserve">vo custear as despesas inerentes à abertura de processo administrativo (capa de processo timbrada, etiquetas, </w:t>
      </w:r>
      <w:proofErr w:type="spellStart"/>
      <w:r>
        <w:rPr>
          <w:color w:val="000000"/>
        </w:rPr>
        <w:t>etc</w:t>
      </w:r>
      <w:proofErr w:type="spellEnd"/>
      <w:r>
        <w:rPr>
          <w:color w:val="000000"/>
        </w:rPr>
        <w:t>).</w:t>
      </w:r>
    </w:p>
    <w:p w14:paraId="7951C57B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No entanto, o Município de Farroupilha instituiu o Sistema Eletrônico de Informações – SEI, como sistema oficial de processo gestão de docum</w:t>
      </w:r>
      <w:r>
        <w:rPr>
          <w:color w:val="000000"/>
        </w:rPr>
        <w:t>entos e processos eletrônicos da Administração Direta e Indireta do Município de Farroupilha, estabelecendo que a tramitação de processos administrativos, a comunicação de atos, formação de autos e transmissão de peças processuais serão realizados exclusiv</w:t>
      </w:r>
      <w:r>
        <w:rPr>
          <w:color w:val="000000"/>
        </w:rPr>
        <w:t xml:space="preserve">amente por intermédio do SEI, conforme estabelecem aos </w:t>
      </w:r>
      <w:proofErr w:type="spellStart"/>
      <w:r>
        <w:rPr>
          <w:color w:val="000000"/>
        </w:rPr>
        <w:t>arts</w:t>
      </w:r>
      <w:proofErr w:type="spellEnd"/>
      <w:r>
        <w:rPr>
          <w:color w:val="000000"/>
        </w:rPr>
        <w:t>. 1º e 3º do Decreto nº 7.172, de 11-05-2022, portanto, o sistema SEI substituirá a tramitação de processos físicos no âmbito do nosso município.</w:t>
      </w:r>
    </w:p>
    <w:p w14:paraId="5111E642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É oportuno destacar que o Sistema Eletrônico de Inf</w:t>
      </w:r>
      <w:r>
        <w:rPr>
          <w:color w:val="000000"/>
        </w:rPr>
        <w:t>ormações – SEI é cedido gratuitamente pelo Tribunal Regional Federal da 4ª Região – TRF4, conforme dispõe o Acordo de Cooperação Técnica nº 172/2021, publicado no Diário Oficial da União em 11/01/2022, não gerando custos decorrentes da cessão de uso ao mun</w:t>
      </w:r>
      <w:r>
        <w:rPr>
          <w:color w:val="000000"/>
        </w:rPr>
        <w:t>icípio.</w:t>
      </w:r>
    </w:p>
    <w:p w14:paraId="36BB6571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Como consequência da implantação do SEI, cujo cronograma prevê a sua conclusão em 31 de dezembro de 2022, haverá economia de recursos, também com a eventual descontinuidade do atual sistema de protocolo, uma vez que não será mais necessária a abert</w:t>
      </w:r>
      <w:r>
        <w:rPr>
          <w:color w:val="000000"/>
        </w:rPr>
        <w:t xml:space="preserve">ura de processos no meio físico. </w:t>
      </w:r>
    </w:p>
    <w:p w14:paraId="4E2F765E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O avanço tecnológico promovido pelo Município de Farroupilha com a utilização do SEI terá como resultado direto a economia de recursos.</w:t>
      </w:r>
    </w:p>
    <w:p w14:paraId="0DDCD795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Considerando que os custos na geração de processos físicos, os quais davam azo à cobra</w:t>
      </w:r>
      <w:r>
        <w:rPr>
          <w:color w:val="000000"/>
        </w:rPr>
        <w:t xml:space="preserve">nça da Taxa de Expediente por protocolo, serão reduzidos à zero a partir da utilização do SEI, encaminhamos a presente proposta legislativa, a fim de extinguir a cobrança da respectiva taxa. </w:t>
      </w:r>
    </w:p>
    <w:p w14:paraId="6C472407" w14:textId="77777777" w:rsidR="00010CFD" w:rsidRDefault="00DC1DBC" w:rsidP="00DC1DBC">
      <w:pPr>
        <w:spacing w:after="0"/>
        <w:ind w:firstLine="567"/>
        <w:jc w:val="both"/>
      </w:pPr>
      <w:r>
        <w:rPr>
          <w:color w:val="000000"/>
        </w:rPr>
        <w:t>Diante do exposto, solicitamos a Vossa Excelência e aos demais N</w:t>
      </w:r>
      <w:r>
        <w:rPr>
          <w:color w:val="000000"/>
        </w:rPr>
        <w:t xml:space="preserve">obres Vereadores a aprovação do anexo Projeto de Lei, em regime de urgência, nos termos do art. 35 da Lei Orgânica Municipal. </w:t>
      </w:r>
    </w:p>
    <w:p w14:paraId="003E0387" w14:textId="77777777" w:rsidR="00010CFD" w:rsidRDefault="00DC1DBC" w:rsidP="00DC1DBC">
      <w:pPr>
        <w:spacing w:after="0"/>
        <w:ind w:firstLine="567"/>
      </w:pPr>
      <w:r>
        <w:rPr>
          <w:color w:val="000000"/>
        </w:rPr>
        <w:t>GABINETE DO PREFEITO MUNICIPAL DE FARROUPILHA, RS, 23 de setembro de 2022.</w:t>
      </w:r>
    </w:p>
    <w:p w14:paraId="5B5072CD" w14:textId="77777777" w:rsidR="00DC1DBC" w:rsidRDefault="00DC1DBC">
      <w:pPr>
        <w:spacing w:after="0"/>
        <w:rPr>
          <w:rFonts w:ascii="Times New Roman" w:hAnsi="Times New Roman"/>
          <w:color w:val="000000"/>
          <w:sz w:val="22"/>
        </w:rPr>
      </w:pPr>
    </w:p>
    <w:p w14:paraId="192275C0" w14:textId="77777777" w:rsidR="00DC1DBC" w:rsidRDefault="00DC1DBC">
      <w:pPr>
        <w:spacing w:after="0"/>
        <w:rPr>
          <w:rFonts w:ascii="Times New Roman" w:hAnsi="Times New Roman"/>
          <w:color w:val="000000"/>
          <w:sz w:val="22"/>
        </w:rPr>
      </w:pPr>
    </w:p>
    <w:p w14:paraId="661A0392" w14:textId="385111BE" w:rsidR="00010CFD" w:rsidRDefault="00DC1DBC">
      <w:pPr>
        <w:spacing w:after="0"/>
      </w:pPr>
      <w:r>
        <w:rPr>
          <w:rFonts w:ascii="Times New Roman" w:hAnsi="Times New Roman"/>
          <w:color w:val="000000"/>
          <w:sz w:val="22"/>
        </w:rPr>
        <w:t xml:space="preserve"> </w:t>
      </w:r>
    </w:p>
    <w:p w14:paraId="0F07D45B" w14:textId="77777777" w:rsidR="00010CFD" w:rsidRDefault="00DC1DBC">
      <w:pPr>
        <w:spacing w:after="0"/>
        <w:jc w:val="center"/>
      </w:pPr>
      <w:r>
        <w:rPr>
          <w:color w:val="000000"/>
        </w:rPr>
        <w:t>FABIANO FELTRIN</w:t>
      </w:r>
      <w:r>
        <w:br/>
      </w:r>
      <w:r>
        <w:rPr>
          <w:color w:val="000000"/>
        </w:rPr>
        <w:t>Prefeito Municipal</w:t>
      </w:r>
    </w:p>
    <w:sectPr w:rsidR="00010CFD" w:rsidSect="00DC1DBC">
      <w:pgSz w:w="11907" w:h="16839" w:code="9"/>
      <w:pgMar w:top="2836" w:right="850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53D24"/>
    <w:multiLevelType w:val="multilevel"/>
    <w:tmpl w:val="82DEFF4E"/>
    <w:lvl w:ilvl="0">
      <w:start w:val="1"/>
      <w:numFmt w:val="decimal"/>
      <w:lvlText w:val="%1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724807">
    <w:abstractNumId w:val="2"/>
  </w:num>
  <w:num w:numId="2" w16cid:durableId="2113235702">
    <w:abstractNumId w:val="0"/>
  </w:num>
  <w:num w:numId="3" w16cid:durableId="149155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FD"/>
    <w:rsid w:val="00010CFD"/>
    <w:rsid w:val="00DC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01880"/>
  <w15:docId w15:val="{F51FB5FA-BE57-4AB2-9A03-E0C9B23D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pPr>
      <w:spacing w:before="120" w:after="120" w:line="240" w:lineRule="auto"/>
    </w:pPr>
    <w:rPr>
      <w:rFonts w:ascii="Arial" w:hAnsi="Arial"/>
      <w:sz w:val="20"/>
      <w:szCs w:val="20"/>
      <w:lang w:val="pt-BR" w:eastAsia="pt-BR"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CD9"/>
  </w:style>
  <w:style w:type="character" w:customStyle="1" w:styleId="Ttulo1Char">
    <w:name w:val="Título 1 Char"/>
    <w:basedOn w:val="Fontepargpadro"/>
    <w:link w:val="Ttulo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Recuonormal">
    <w:name w:val="Normal Indent"/>
    <w:basedOn w:val="Normal"/>
    <w:uiPriority w:val="99"/>
    <w:unhideWhenUsed/>
    <w:rsid w:val="00841CD9"/>
    <w:pPr>
      <w:ind w:left="720"/>
    </w:pPr>
  </w:style>
  <w:style w:type="paragraph" w:styleId="Subttulo">
    <w:name w:val="Subtitle"/>
    <w:basedOn w:val="Normal"/>
    <w:next w:val="Normal"/>
    <w:link w:val="Subttulo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nfase">
    <w:name w:val="Emphasis"/>
    <w:basedOn w:val="Fontepargpadro"/>
    <w:uiPriority w:val="20"/>
    <w:qFormat/>
    <w:rsid w:val="00D1197D"/>
    <w:rPr>
      <w:i/>
      <w:iCs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"/>
    <w:next w:val="Normal"/>
    <w:uiPriority w:val="35"/>
    <w:semiHidden/>
    <w:unhideWhenUsed/>
    <w:qFormat/>
    <w:rsid w:val="007109C0"/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acessos\consolida\lei\K5eDykqTKJ3ULOLl.html%3ftimeline=23\09\2022&amp;origem=57920" TargetMode="External"/><Relationship Id="rId5" Type="http://schemas.openxmlformats.org/officeDocument/2006/relationships/hyperlink" Target="file:///C:\acessos\consolida\lei\K5eDykqTKJ3ULOLl.html%3ftimeline=23\09\2022&amp;origem=579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7257</Characters>
  <Application>Microsoft Office Word</Application>
  <DocSecurity>0</DocSecurity>
  <Lines>60</Lines>
  <Paragraphs>17</Paragraphs>
  <ScaleCrop>false</ScaleCrop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Maiara Piccoli</dc:creator>
  <cp:lastModifiedBy>Maiara Piccoli</cp:lastModifiedBy>
  <cp:revision>2</cp:revision>
  <cp:lastPrinted>2022-09-23T13:34:00Z</cp:lastPrinted>
  <dcterms:created xsi:type="dcterms:W3CDTF">2022-09-23T13:34:00Z</dcterms:created>
  <dcterms:modified xsi:type="dcterms:W3CDTF">2022-09-23T13:34:00Z</dcterms:modified>
</cp:coreProperties>
</file>