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11" w:rsidRPr="00C25302" w:rsidRDefault="00BC0DBC" w:rsidP="00EB1A96">
      <w:pPr>
        <w:spacing w:before="0" w:after="0" w:line="260" w:lineRule="exact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PROJETO DE LEI Nº 22, DE 11</w:t>
      </w:r>
      <w:r w:rsidR="00C25302" w:rsidRPr="00C25302">
        <w:rPr>
          <w:b/>
          <w:u w:val="single"/>
        </w:rPr>
        <w:t xml:space="preserve"> DE MAIO DE 2021.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4"/>
        <w:gridCol w:w="4742"/>
      </w:tblGrid>
      <w:tr w:rsidR="00F06B11" w:rsidRPr="00C25302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B11" w:rsidRPr="00C25302" w:rsidRDefault="00F06B11" w:rsidP="00EB1A96">
            <w:pPr>
              <w:spacing w:before="0" w:after="0" w:line="260" w:lineRule="exact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B11" w:rsidRPr="00C25302" w:rsidRDefault="00C25302" w:rsidP="00EB1A96">
            <w:pPr>
              <w:spacing w:before="0" w:after="0" w:line="260" w:lineRule="exact"/>
              <w:jc w:val="right"/>
            </w:pPr>
            <w:r w:rsidRPr="00C25302">
              <w:t>Altera a Lei Municipal nº 4.191, de 09-12-2015.</w:t>
            </w:r>
          </w:p>
        </w:tc>
      </w:tr>
    </w:tbl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O </w:t>
      </w:r>
      <w:r w:rsidRPr="00C25302">
        <w:rPr>
          <w:b/>
        </w:rPr>
        <w:t>PREFEITO MUNICIPAL DE FARROUPILHA,</w:t>
      </w:r>
      <w:r w:rsidRPr="00C25302">
        <w:t xml:space="preserve"> no uso das atribuições que lhe confere a Lei, apresenta o seguinte Projeto de Lei:         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Art. 1º A Lei Municipal n.º 4.191, de 09-12-2015, passa a vigorar com as seguintes alterações:</w:t>
      </w:r>
    </w:p>
    <w:p w:rsidR="00F06B11" w:rsidRPr="00C25302" w:rsidRDefault="00C25302" w:rsidP="00EB1A96">
      <w:pPr>
        <w:spacing w:before="0" w:after="0" w:line="260" w:lineRule="exact"/>
      </w:pPr>
      <w:r w:rsidRPr="00C25302">
        <w:t xml:space="preserve">                         "Art. 9º (...)</w:t>
      </w:r>
    </w:p>
    <w:p w:rsidR="00F06B11" w:rsidRPr="00C25302" w:rsidRDefault="00C25302" w:rsidP="00EB1A96">
      <w:pPr>
        <w:spacing w:before="0" w:after="0" w:line="260" w:lineRule="exact"/>
      </w:pPr>
      <w:r w:rsidRPr="00C25302">
        <w:t xml:space="preserve">                         (...)</w:t>
      </w:r>
    </w:p>
    <w:p w:rsidR="00F06B11" w:rsidRPr="00C25302" w:rsidRDefault="00C25302" w:rsidP="00EB1A96">
      <w:pPr>
        <w:spacing w:before="0" w:after="0" w:line="260" w:lineRule="exact"/>
      </w:pPr>
      <w:r w:rsidRPr="00C25302">
        <w:t xml:space="preserve">                         V - (...)</w:t>
      </w:r>
    </w:p>
    <w:p w:rsidR="00F06B11" w:rsidRPr="00C25302" w:rsidRDefault="00C25302" w:rsidP="00EB1A96">
      <w:pPr>
        <w:spacing w:before="0" w:after="0" w:line="260" w:lineRule="exact"/>
      </w:pPr>
      <w:r w:rsidRPr="00C25302">
        <w:t xml:space="preserve">                         </w:t>
      </w:r>
      <w:hyperlink r:id="rId7" w:anchor="72868">
        <w:r w:rsidRPr="00C25302">
          <w:t>a)</w:t>
        </w:r>
      </w:hyperlink>
      <w:r>
        <w:t xml:space="preserve"> </w:t>
      </w:r>
      <w:r w:rsidRPr="00C25302">
        <w:t>as faixas marginais de qualquer curso d’água natural perene e intermitente, excluídos os efêmeros, desde a borda da calha do leito regular, em largura mínima de: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8" w:anchor="72868">
        <w:r w:rsidRPr="00C25302">
          <w:t>1.</w:t>
        </w:r>
      </w:hyperlink>
      <w:r>
        <w:t xml:space="preserve"> </w:t>
      </w:r>
      <w:r w:rsidRPr="00C25302">
        <w:t>30 (trinta) metros, para os cursos d’água de menos de 10 (dez) metros de largura;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9" w:anchor="72868">
        <w:r w:rsidRPr="00C25302">
          <w:t>2.</w:t>
        </w:r>
      </w:hyperlink>
      <w:r>
        <w:t xml:space="preserve"> </w:t>
      </w:r>
      <w:r w:rsidRPr="00C25302">
        <w:t>50 (cinquenta) metros, para os cursos d’água que tenham de 10 (dez) a 50 (cinquenta) metros de largura;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10" w:anchor="72868">
        <w:r w:rsidRPr="00C25302">
          <w:t>3.</w:t>
        </w:r>
      </w:hyperlink>
      <w:r>
        <w:t xml:space="preserve"> </w:t>
      </w:r>
      <w:r w:rsidRPr="00C25302">
        <w:t>100 (cem) metros, para os cursos d’água que tenham de 50 (cinquenta) a 200 (duzentos) metros de largura;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11" w:anchor="72868">
        <w:r w:rsidRPr="00C25302">
          <w:t>4.</w:t>
        </w:r>
      </w:hyperlink>
      <w:r>
        <w:t xml:space="preserve"> </w:t>
      </w:r>
      <w:r w:rsidRPr="00C25302">
        <w:t xml:space="preserve">200 (duzentos) metros, para </w:t>
      </w:r>
      <w:r w:rsidRPr="00C25302">
        <w:rPr>
          <w:shd w:val="clear" w:color="auto" w:fill="FFFFFF"/>
        </w:rPr>
        <w:t>os cursos d’água que tenham de 200 (duzentos) a 600 (seiscentos) metros de largura;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12" w:anchor="72868">
        <w:r w:rsidRPr="00C25302">
          <w:t>5.</w:t>
        </w:r>
      </w:hyperlink>
      <w:r>
        <w:t xml:space="preserve"> </w:t>
      </w:r>
      <w:r w:rsidRPr="00C25302">
        <w:t>500 (quinhentos) metros, para os cursos d’água que tenham largura superior a 600 (seiscentos) metros.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  </w:t>
      </w:r>
      <w:hyperlink r:id="rId13" w:anchor="72869">
        <w:r w:rsidRPr="00C25302">
          <w:t>b)</w:t>
        </w:r>
      </w:hyperlink>
      <w:r>
        <w:t xml:space="preserve"> </w:t>
      </w:r>
      <w:r w:rsidRPr="00C25302">
        <w:t>ao redor das lagoas, lagos ou reservatórios de água naturais ou artificiais, em faixa com largura mínima de: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14" w:anchor="72869">
        <w:r w:rsidRPr="00C25302">
          <w:t>1.</w:t>
        </w:r>
      </w:hyperlink>
      <w:r>
        <w:t xml:space="preserve"> </w:t>
      </w:r>
      <w:r w:rsidRPr="00C25302">
        <w:t>100 (cem) metros, em zonas rurais, exceto para o corpo d’água com até 20 (vinte) hectares de superfície, cuja faixa marginal será de 50 (cinquenta) metros;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15" w:anchor="72869">
        <w:r w:rsidRPr="00C25302">
          <w:t>2.</w:t>
        </w:r>
      </w:hyperlink>
      <w:r>
        <w:t xml:space="preserve"> </w:t>
      </w:r>
      <w:r w:rsidRPr="00C25302">
        <w:t>30 (trinta) metros, em zonas urbanas.</w:t>
      </w:r>
    </w:p>
    <w:p w:rsidR="00DC01D7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16" w:anchor="72870">
        <w:r w:rsidRPr="00C25302">
          <w:t>c)</w:t>
        </w:r>
      </w:hyperlink>
      <w:r>
        <w:t xml:space="preserve"> </w:t>
      </w:r>
      <w:r w:rsidR="00DC01D7" w:rsidRPr="00C25302">
        <w:t>nas nascentes, mesmo nos chamados olhos d'água, seja qual for a situação topo</w:t>
      </w:r>
      <w:r w:rsidR="00DC01D7">
        <w:t xml:space="preserve">gráfica, num raio mínimo de </w:t>
      </w:r>
      <w:r w:rsidR="00741E57" w:rsidRPr="00C25302">
        <w:t>50 (cinquenta) metros</w:t>
      </w:r>
      <w:r w:rsidR="00DC01D7">
        <w:t>;</w:t>
      </w:r>
    </w:p>
    <w:p w:rsidR="00DC01D7" w:rsidRDefault="00DC01D7" w:rsidP="00EB1A96">
      <w:pPr>
        <w:spacing w:before="0" w:after="0" w:line="260" w:lineRule="exact"/>
        <w:ind w:firstLine="1418"/>
        <w:jc w:val="both"/>
      </w:pPr>
      <w:r>
        <w:t>(...)</w:t>
      </w:r>
    </w:p>
    <w:p w:rsidR="00C25302" w:rsidRDefault="00DC01D7" w:rsidP="00EB1A96">
      <w:pPr>
        <w:tabs>
          <w:tab w:val="left" w:pos="1418"/>
        </w:tabs>
        <w:spacing w:before="0" w:after="0" w:line="260" w:lineRule="exact"/>
        <w:ind w:firstLine="1418"/>
        <w:jc w:val="both"/>
      </w:pPr>
      <w:r>
        <w:t>i)</w:t>
      </w:r>
      <w:r w:rsidRPr="00DC01D7">
        <w:t xml:space="preserve"> as áreas no entorno dos reservatórios d’água artificiais, decorrentes de barramento ou represamento de cursos d’água naturais, na faixa definida na lice</w:t>
      </w:r>
      <w:r>
        <w:t>nça ambiental do empreendimento.</w:t>
      </w:r>
    </w:p>
    <w:p w:rsidR="00F06B11" w:rsidRPr="00C25302" w:rsidRDefault="00C25302" w:rsidP="00EB1A96">
      <w:pPr>
        <w:spacing w:before="0" w:after="0" w:line="260" w:lineRule="exact"/>
      </w:pPr>
      <w:r w:rsidRPr="00C25302">
        <w:t xml:space="preserve">    </w:t>
      </w:r>
      <w:r>
        <w:t xml:space="preserve">                     (...)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Art. 13. (...)</w:t>
      </w:r>
    </w:p>
    <w:p w:rsid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17" w:anchor="72881">
        <w:r w:rsidRPr="00C25302">
          <w:t>§ 1º</w:t>
        </w:r>
      </w:hyperlink>
      <w:r>
        <w:t xml:space="preserve"> </w:t>
      </w:r>
      <w:r w:rsidRPr="00C25302">
        <w:t xml:space="preserve">Não será permitido desmembramento ou fracionamento quando deles resultar faixa de lotes contíguos, de frente para uma mesma via, com extensão superior ao indicado no Anexo Único.                        </w:t>
      </w:r>
    </w:p>
    <w:p w:rsidR="00F06B11" w:rsidRPr="00C25302" w:rsidRDefault="00C25302" w:rsidP="00EB1A96">
      <w:pPr>
        <w:spacing w:before="0" w:after="0" w:line="260" w:lineRule="exact"/>
        <w:jc w:val="both"/>
      </w:pPr>
      <w:r>
        <w:t xml:space="preserve">                       (...)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Art. 18. (...)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(...)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18" w:anchor="72907">
        <w:r w:rsidRPr="00C25302">
          <w:t>§ 2º</w:t>
        </w:r>
      </w:hyperlink>
      <w:r>
        <w:t xml:space="preserve"> </w:t>
      </w:r>
      <w:r w:rsidRPr="00C25302">
        <w:t>A aprovação preliminar de parcelamentos lindeiros às rodovias estaduais e federais fica vinculada à apresentação de protocolo de encaminhamento de solicitação de termo de viabilidade de acesso junto ao órgão competente.</w:t>
      </w:r>
    </w:p>
    <w:p w:rsidR="00F06B11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19" w:anchor="72907">
        <w:r w:rsidRPr="00C25302">
          <w:t>§ 3º</w:t>
        </w:r>
      </w:hyperlink>
      <w:r>
        <w:t xml:space="preserve"> </w:t>
      </w:r>
      <w:r w:rsidRPr="00C25302">
        <w:t>A aprovação final de parcelamentos lindeiros às rodovias estaduais e federais fica vinculada à apresentação de termo de viabilidade de acesso emit</w:t>
      </w:r>
      <w:r>
        <w:t>ido pelo órgão competente.</w:t>
      </w:r>
    </w:p>
    <w:p w:rsidR="00C25302" w:rsidRPr="00C25302" w:rsidRDefault="00C25302" w:rsidP="00EB1A96">
      <w:pPr>
        <w:spacing w:before="0" w:after="0" w:line="260" w:lineRule="exact"/>
        <w:jc w:val="both"/>
      </w:pPr>
      <w:r>
        <w:t xml:space="preserve">                       (...)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Art. 29. (...)</w:t>
      </w:r>
    </w:p>
    <w:p w:rsid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20" w:anchor="72930">
        <w:r w:rsidRPr="00C25302">
          <w:t>§ 1º</w:t>
        </w:r>
      </w:hyperlink>
      <w:r>
        <w:t xml:space="preserve"> </w:t>
      </w:r>
      <w:r w:rsidRPr="00C25302">
        <w:t xml:space="preserve">As Áreas externas ao fechamento do condomínio deverão obrigatoriamente totalizar 5m (cinco metros) de passeio, para ajardinamento e arborização, como medida de mitigação a intervenção urbanística realizada.                         </w:t>
      </w:r>
    </w:p>
    <w:p w:rsidR="00F06B11" w:rsidRPr="00C25302" w:rsidRDefault="00C25302" w:rsidP="00EB1A96">
      <w:pPr>
        <w:spacing w:before="0" w:after="0" w:line="260" w:lineRule="exact"/>
        <w:jc w:val="both"/>
      </w:pPr>
      <w:r>
        <w:t xml:space="preserve">                       </w:t>
      </w:r>
      <w:r w:rsidRPr="00C25302">
        <w:t>(...)</w:t>
      </w:r>
    </w:p>
    <w:p w:rsidR="00F06B11" w:rsidRPr="00C25302" w:rsidRDefault="00C25302" w:rsidP="00EB1A96">
      <w:pPr>
        <w:spacing w:before="0" w:after="0" w:line="260" w:lineRule="exact"/>
        <w:jc w:val="both"/>
      </w:pPr>
      <w:r>
        <w:t xml:space="preserve">                       </w:t>
      </w:r>
      <w:r w:rsidRPr="00C25302">
        <w:t>Art. 31. (...)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lastRenderedPageBreak/>
        <w:t xml:space="preserve">                       </w:t>
      </w:r>
      <w:hyperlink r:id="rId21" w:anchor="72934">
        <w:r w:rsidRPr="00C25302">
          <w:t>§ 1º</w:t>
        </w:r>
      </w:hyperlink>
      <w:r>
        <w:t xml:space="preserve"> </w:t>
      </w:r>
      <w:r w:rsidRPr="00C25302">
        <w:t>Poderão ser requeridas vias públicas paralelas ao entorno do fechamento do condomínio para preservar a continuidade viária, a critério do órgão competente.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22" w:anchor="72934">
        <w:r w:rsidRPr="00C25302">
          <w:t>§ 2º</w:t>
        </w:r>
      </w:hyperlink>
      <w:r>
        <w:t xml:space="preserve"> </w:t>
      </w:r>
      <w:r w:rsidRPr="00C25302">
        <w:t>Deverão ser contemplados nas edificações, recuo mínimo de 2 (dois</w:t>
      </w:r>
      <w:r w:rsidR="00A23A57">
        <w:t>) metros</w:t>
      </w:r>
      <w:r w:rsidRPr="00C25302">
        <w:t>, quando os lotes do condomínio estiverem posicionados lindeiros ao fechamento do condomínio de lotes e lindeiros as vias públicas.</w:t>
      </w:r>
    </w:p>
    <w:p w:rsidR="00F06B11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23" w:anchor="72934">
        <w:r w:rsidRPr="00C25302">
          <w:t>§ 3º</w:t>
        </w:r>
      </w:hyperlink>
      <w:r>
        <w:t xml:space="preserve"> </w:t>
      </w:r>
      <w:r w:rsidRPr="00C25302">
        <w:t>Os parâmetros urbanísticos deverão constar na convenção de condomínio. Em caso de não estar expresso tais parâmetros, deverão ser seguidos os parâmetros construtivos expressos na leg</w:t>
      </w:r>
      <w:r>
        <w:t>islação municipal vigente.</w:t>
      </w:r>
    </w:p>
    <w:p w:rsidR="00C25302" w:rsidRPr="00C25302" w:rsidRDefault="00C25302" w:rsidP="00EB1A96">
      <w:pPr>
        <w:spacing w:before="0" w:after="0" w:line="260" w:lineRule="exact"/>
        <w:jc w:val="both"/>
      </w:pPr>
      <w:r>
        <w:t xml:space="preserve">                       (...)</w:t>
      </w:r>
    </w:p>
    <w:p w:rsidR="00F06B11" w:rsidRPr="00C25302" w:rsidRDefault="00C25302" w:rsidP="00EB1A96">
      <w:pPr>
        <w:spacing w:before="0" w:after="0" w:line="260" w:lineRule="exact"/>
      </w:pPr>
      <w:r w:rsidRPr="00C25302">
        <w:t xml:space="preserve">                         Art. 47. (...)</w:t>
      </w:r>
    </w:p>
    <w:p w:rsidR="00F06B11" w:rsidRPr="00C25302" w:rsidRDefault="00C25302" w:rsidP="00EB1A96">
      <w:pPr>
        <w:spacing w:before="0" w:after="0" w:line="260" w:lineRule="exact"/>
      </w:pPr>
      <w:r w:rsidRPr="00C25302">
        <w:t xml:space="preserve">                         I - (...)</w:t>
      </w:r>
    </w:p>
    <w:p w:rsidR="00F06B11" w:rsidRPr="00C25302" w:rsidRDefault="00C25302" w:rsidP="00EB1A96">
      <w:pPr>
        <w:spacing w:before="0" w:after="0" w:line="260" w:lineRule="exact"/>
      </w:pPr>
      <w:r w:rsidRPr="00C25302">
        <w:t xml:space="preserve">                         (...)</w:t>
      </w:r>
    </w:p>
    <w:p w:rsidR="00F06B11" w:rsidRDefault="00C25302" w:rsidP="00EB1A96">
      <w:pPr>
        <w:spacing w:before="0" w:after="0" w:line="260" w:lineRule="exact"/>
      </w:pPr>
      <w:r w:rsidRPr="00C25302">
        <w:t xml:space="preserve">                         </w:t>
      </w:r>
      <w:hyperlink r:id="rId24" w:anchor="72997">
        <w:r w:rsidRPr="00C25302">
          <w:t>g)</w:t>
        </w:r>
      </w:hyperlink>
      <w:r>
        <w:t xml:space="preserve"> </w:t>
      </w:r>
      <w:r w:rsidRPr="00C25302">
        <w:t xml:space="preserve">todos os mapas e projetos apresentados devem ser georeferenciados.                         </w:t>
      </w:r>
      <w:r>
        <w:t xml:space="preserve">                      </w:t>
      </w:r>
    </w:p>
    <w:p w:rsidR="00C25302" w:rsidRPr="00C25302" w:rsidRDefault="00C25302" w:rsidP="00EB1A96">
      <w:pPr>
        <w:spacing w:before="0" w:after="0" w:line="260" w:lineRule="exact"/>
      </w:pPr>
      <w:r>
        <w:t xml:space="preserve">                         (...)</w:t>
      </w:r>
    </w:p>
    <w:p w:rsidR="00F06B11" w:rsidRPr="00C25302" w:rsidRDefault="00FE2B76" w:rsidP="00EB1A96">
      <w:pPr>
        <w:spacing w:before="0" w:after="0" w:line="260" w:lineRule="exact"/>
        <w:jc w:val="center"/>
      </w:pPr>
      <w:hyperlink r:id="rId25" w:anchor="73113">
        <w:r w:rsidR="00C25302" w:rsidRPr="00C25302">
          <w:t>Seção I</w:t>
        </w:r>
      </w:hyperlink>
    </w:p>
    <w:p w:rsidR="00F06B11" w:rsidRPr="00C25302" w:rsidRDefault="00C25302" w:rsidP="00EB1A96">
      <w:pPr>
        <w:spacing w:before="0" w:after="0" w:line="260" w:lineRule="exact"/>
        <w:jc w:val="center"/>
      </w:pPr>
      <w:r w:rsidRPr="00C25302">
        <w:t>Da Invasão e Depredação de Logradouros e de Área Públicas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 </w:t>
      </w:r>
      <w:hyperlink r:id="rId26" w:anchor="73113">
        <w:r w:rsidRPr="00C25302">
          <w:t>Art. 67-A.</w:t>
        </w:r>
      </w:hyperlink>
      <w:r>
        <w:t xml:space="preserve"> </w:t>
      </w:r>
      <w:r w:rsidRPr="00C25302">
        <w:t>As invasões de logradouros e de outras áreas públicas serão punidas conforme as determinações estabelecidas nesta Lei, sem prejuízo das demais sanções legais cabíveis.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27" w:anchor="73113">
        <w:r w:rsidRPr="00C25302">
          <w:t>§ 1º</w:t>
        </w:r>
      </w:hyperlink>
      <w:r>
        <w:t xml:space="preserve"> </w:t>
      </w:r>
      <w:r w:rsidRPr="00C25302">
        <w:t>Con</w:t>
      </w:r>
      <w:r w:rsidRPr="00C25302">
        <w:rPr>
          <w:shd w:val="clear" w:color="auto" w:fill="FFFFFF"/>
        </w:rPr>
        <w:t>statada a invasão por usurpação de logradouro ou área pública, por meio ou não de construção, o Poder Executivo Municipal deve promover imediatamente a desobstrução da área e na reintegração de posse.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</w:t>
      </w:r>
      <w:r>
        <w:t xml:space="preserve"> </w:t>
      </w:r>
      <w:hyperlink r:id="rId28" w:anchor="73113">
        <w:r w:rsidRPr="00C25302">
          <w:t>§ 2º</w:t>
        </w:r>
      </w:hyperlink>
      <w:r>
        <w:t xml:space="preserve"> </w:t>
      </w:r>
      <w:r w:rsidRPr="00C25302">
        <w:t>Idêntica providência à referida no § 1º deste artigo deverá ser tomada pelo órgão municipal competente no caso de invasão e ocupação de faixa de preservação permanente, cursos d`água e canais e se houver redução indevida de parte da respectiva área do logradouro público.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29" w:anchor="73113">
        <w:r w:rsidRPr="00C25302">
          <w:t>§ 3º</w:t>
        </w:r>
      </w:hyperlink>
      <w:r>
        <w:t xml:space="preserve"> </w:t>
      </w:r>
      <w:r w:rsidRPr="00C25302">
        <w:t>Em qualquer dos casos previstos neste artigo, o infrator será obrigado a ressarcir à municipalidade os gastos provenientes dos serviços realizados par</w:t>
      </w:r>
      <w:r>
        <w:t>a recuperar o bem público.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30" w:anchor="73113">
        <w:r w:rsidRPr="00C25302">
          <w:t>Art. 67-B.</w:t>
        </w:r>
      </w:hyperlink>
      <w:r>
        <w:t xml:space="preserve"> </w:t>
      </w:r>
      <w:r w:rsidRPr="00C25302">
        <w:t xml:space="preserve">A depredação ou a destruição de prédios públicos, equipamentos urbanos, placas indicativas ou de sinalização, árvores e jardins, logradouros e outras obras públicas, será punida conforme as determinações estabelecidas nesta Lei, sem prejuízo das demais sanções legais cabíveis. 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31" w:anchor="73113">
        <w:r w:rsidRPr="00C25302">
          <w:t>§ 1</w:t>
        </w:r>
        <w:r>
          <w:t xml:space="preserve"> </w:t>
        </w:r>
        <w:r w:rsidRPr="00C25302">
          <w:t>º</w:t>
        </w:r>
      </w:hyperlink>
      <w:r w:rsidRPr="00C25302">
        <w:t>Em qualquer dos casos previstos neste artigo, o infrator é obrigado a reparar ou reconstruir a área ou equipamento degradado.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              </w:t>
      </w:r>
      <w:hyperlink r:id="rId32" w:anchor="73113">
        <w:r w:rsidRPr="00C25302">
          <w:t>§ 2º</w:t>
        </w:r>
      </w:hyperlink>
      <w:r>
        <w:t xml:space="preserve"> </w:t>
      </w:r>
      <w:r w:rsidRPr="00C25302">
        <w:t>Se o infrator não reparar ou reconstruir o que houver depredado ou destruído, é obrigado a ressarcir os gastos que a municipalidade realizar, acrescidos de 20% (vinte por cento) a título de multa." (NR)</w:t>
      </w:r>
    </w:p>
    <w:p w:rsidR="00EB1A96" w:rsidRDefault="00C25302" w:rsidP="00EB1A96">
      <w:pPr>
        <w:spacing w:before="0" w:after="0" w:line="260" w:lineRule="exact"/>
        <w:jc w:val="both"/>
        <w:rPr>
          <w:rFonts w:cs="Arial"/>
          <w:color w:val="000000"/>
        </w:rPr>
      </w:pPr>
      <w:r w:rsidRPr="00C25302">
        <w:t xml:space="preserve">         Art. 2º </w:t>
      </w:r>
      <w:r w:rsidR="00EB1A96">
        <w:rPr>
          <w:rFonts w:cs="Arial"/>
        </w:rPr>
        <w:t xml:space="preserve">O Anexo Único da </w:t>
      </w:r>
      <w:r w:rsidR="00EB1A96">
        <w:rPr>
          <w:rFonts w:cs="Arial"/>
          <w:color w:val="000000"/>
        </w:rPr>
        <w:t xml:space="preserve">Lei Municipal n.º </w:t>
      </w:r>
      <w:r w:rsidR="00EB1A96">
        <w:rPr>
          <w:rFonts w:cs="Arial"/>
        </w:rPr>
        <w:t xml:space="preserve">4.191, de 09-12-2015, </w:t>
      </w:r>
      <w:r w:rsidR="00EB1A96">
        <w:rPr>
          <w:rFonts w:cs="Arial"/>
          <w:color w:val="000000"/>
        </w:rPr>
        <w:t>é substituído pelo presente Anexo Único.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</w:t>
      </w:r>
      <w:hyperlink r:id="rId33" w:anchor="72938">
        <w:r w:rsidRPr="00C25302">
          <w:t>Art. 3º</w:t>
        </w:r>
      </w:hyperlink>
      <w:r>
        <w:t xml:space="preserve"> </w:t>
      </w:r>
      <w:r w:rsidRPr="00C25302">
        <w:t>Revogado o art. 35 da Lei Municipal n.º 4.191, de 09-12-2015, esta Lei entrará em vigor na data de sua publicação.</w:t>
      </w:r>
    </w:p>
    <w:p w:rsidR="00F06B11" w:rsidRPr="00C25302" w:rsidRDefault="00C25302" w:rsidP="00EB1A96">
      <w:pPr>
        <w:spacing w:before="0" w:after="0" w:line="260" w:lineRule="exact"/>
        <w:ind w:firstLine="567"/>
      </w:pPr>
      <w:r w:rsidRPr="00C25302">
        <w:t xml:space="preserve">GABINETE DO PREFEITO </w:t>
      </w:r>
      <w:r>
        <w:t>MUNICIPAL DE FARR</w:t>
      </w:r>
      <w:r w:rsidR="00EB1A96">
        <w:t>OUPILHA, RS, 11</w:t>
      </w:r>
      <w:r w:rsidRPr="00C25302">
        <w:t xml:space="preserve"> de maio de 2021.</w:t>
      </w:r>
    </w:p>
    <w:p w:rsidR="00F06B11" w:rsidRDefault="00C25302" w:rsidP="00EB1A96">
      <w:pPr>
        <w:spacing w:before="0" w:after="0" w:line="260" w:lineRule="exact"/>
        <w:ind w:firstLine="567"/>
      </w:pPr>
      <w:r w:rsidRPr="00C25302">
        <w:br/>
        <w:t xml:space="preserve"> </w:t>
      </w:r>
    </w:p>
    <w:p w:rsidR="00EB1A96" w:rsidRPr="00C25302" w:rsidRDefault="00EB1A96" w:rsidP="00EB1A96">
      <w:pPr>
        <w:spacing w:before="0" w:after="0" w:line="260" w:lineRule="exact"/>
        <w:ind w:firstLine="567"/>
      </w:pPr>
    </w:p>
    <w:p w:rsidR="00F06B11" w:rsidRPr="00C25302" w:rsidRDefault="00C25302" w:rsidP="00EB1A96">
      <w:pPr>
        <w:spacing w:before="0" w:after="0" w:line="260" w:lineRule="exact"/>
        <w:jc w:val="center"/>
      </w:pPr>
      <w:r w:rsidRPr="00C25302">
        <w:t>FABIANO FELTRIN</w:t>
      </w:r>
      <w:r w:rsidRPr="00C25302">
        <w:br/>
        <w:t>Prefeito Municipal</w:t>
      </w:r>
    </w:p>
    <w:p w:rsidR="00F06B11" w:rsidRPr="00C25302" w:rsidRDefault="00C25302" w:rsidP="00EB1A96">
      <w:pPr>
        <w:spacing w:before="0" w:after="0" w:line="260" w:lineRule="exact"/>
      </w:pPr>
      <w:r w:rsidRPr="00C25302">
        <w:br w:type="page"/>
      </w:r>
    </w:p>
    <w:p w:rsidR="00F06B11" w:rsidRPr="00C25302" w:rsidRDefault="00C25302" w:rsidP="00EB1A96">
      <w:pPr>
        <w:spacing w:before="0" w:after="0" w:line="260" w:lineRule="exact"/>
        <w:jc w:val="center"/>
        <w:rPr>
          <w:b/>
        </w:rPr>
      </w:pPr>
      <w:r w:rsidRPr="00C25302">
        <w:rPr>
          <w:b/>
        </w:rPr>
        <w:lastRenderedPageBreak/>
        <w:t>JUSTIFICATIVA</w:t>
      </w:r>
    </w:p>
    <w:p w:rsidR="00F06B11" w:rsidRPr="00C25302" w:rsidRDefault="00F06B11" w:rsidP="00EB1A96">
      <w:pPr>
        <w:spacing w:before="0" w:after="0" w:line="260" w:lineRule="exact"/>
        <w:jc w:val="center"/>
      </w:pPr>
    </w:p>
    <w:p w:rsidR="00C25302" w:rsidRDefault="00C25302" w:rsidP="00EB1A96">
      <w:pPr>
        <w:spacing w:before="0" w:after="0" w:line="260" w:lineRule="exact"/>
      </w:pPr>
      <w:r w:rsidRPr="00C25302">
        <w:t xml:space="preserve">         Senhor Presidente,</w:t>
      </w:r>
    </w:p>
    <w:p w:rsidR="00F06B11" w:rsidRPr="00C25302" w:rsidRDefault="00C25302" w:rsidP="00EB1A96">
      <w:pPr>
        <w:spacing w:before="0" w:after="0" w:line="260" w:lineRule="exact"/>
      </w:pPr>
      <w:r w:rsidRPr="00C25302">
        <w:t xml:space="preserve">         Senhores Vereadores:</w:t>
      </w:r>
    </w:p>
    <w:p w:rsidR="00F06B11" w:rsidRPr="00C25302" w:rsidRDefault="00F06B11" w:rsidP="00EB1A96">
      <w:pPr>
        <w:spacing w:before="0" w:after="0" w:line="260" w:lineRule="exact"/>
      </w:pP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Ao saudarmos os Ilustres Membros do Poder Legislativo Municipal, tomamos a liberdade de submeter à elevada apreciação dessa Casa, Projeto de Lei que altera a Lei Municipal n.º 4.191, de </w:t>
      </w:r>
      <w:r>
        <w:t>0</w:t>
      </w:r>
      <w:r w:rsidRPr="00C25302">
        <w:t>9-12-2015.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As alterações que estamos propondo na lei que dispõe acerca do parcelamento do solo urbano têm por finalidade a adequação da legislação municipal a constante evolução da sociedade, proporcionado com isso condições para o desenvolvimento harmônico e sustentável de nossa cidade, com consequente progresso e segurança à população.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Ademais, algumas das alterações elencadas são apontamentos oriundos do Ministério Público solicitando a convergência entre a legislação municipal e a federal. </w:t>
      </w:r>
    </w:p>
    <w:p w:rsidR="00F06B11" w:rsidRPr="00C25302" w:rsidRDefault="00C25302" w:rsidP="00EB1A96">
      <w:pPr>
        <w:spacing w:before="0" w:after="0" w:line="260" w:lineRule="exact"/>
        <w:jc w:val="both"/>
      </w:pPr>
      <w:r w:rsidRPr="00C25302">
        <w:t xml:space="preserve">         Assim sendo, na certeza da análise favorável dos Senhores Vereadores, solicitamos a aprovação do presente Projeto de Lei.</w:t>
      </w:r>
    </w:p>
    <w:p w:rsidR="00F06B11" w:rsidRPr="00C25302" w:rsidRDefault="00C25302" w:rsidP="00EB1A96">
      <w:pPr>
        <w:spacing w:before="0" w:after="0" w:line="260" w:lineRule="exact"/>
        <w:ind w:firstLine="567"/>
      </w:pPr>
      <w:r w:rsidRPr="00C25302">
        <w:t xml:space="preserve">GABINETE DO PREFEITO </w:t>
      </w:r>
      <w:r w:rsidR="003617AF">
        <w:t>MUNICIPAL DE FARROUPILHA, RS, 11</w:t>
      </w:r>
      <w:r w:rsidRPr="00C25302">
        <w:t xml:space="preserve"> de maio de 2021.</w:t>
      </w:r>
    </w:p>
    <w:p w:rsidR="00F06B11" w:rsidRDefault="00C25302" w:rsidP="00EB1A96">
      <w:pPr>
        <w:spacing w:before="0" w:after="0" w:line="260" w:lineRule="exact"/>
        <w:rPr>
          <w:rFonts w:ascii="Times New Roman" w:hAnsi="Times New Roman"/>
          <w:sz w:val="22"/>
        </w:rPr>
      </w:pPr>
      <w:r w:rsidRPr="00C25302">
        <w:br/>
      </w:r>
      <w:r w:rsidRPr="00C25302">
        <w:rPr>
          <w:rFonts w:ascii="Times New Roman" w:hAnsi="Times New Roman"/>
          <w:sz w:val="22"/>
        </w:rPr>
        <w:t xml:space="preserve"> </w:t>
      </w:r>
    </w:p>
    <w:p w:rsidR="003617AF" w:rsidRPr="00C25302" w:rsidRDefault="003617AF" w:rsidP="00EB1A96">
      <w:pPr>
        <w:spacing w:before="0" w:after="0" w:line="260" w:lineRule="exact"/>
      </w:pPr>
    </w:p>
    <w:p w:rsidR="00F06B11" w:rsidRPr="00C25302" w:rsidRDefault="00C25302" w:rsidP="00EB1A96">
      <w:pPr>
        <w:spacing w:before="0" w:after="0" w:line="260" w:lineRule="exact"/>
        <w:jc w:val="center"/>
      </w:pPr>
      <w:r w:rsidRPr="00C25302">
        <w:t>FABIANO FELTRIN</w:t>
      </w:r>
      <w:r w:rsidRPr="00C25302">
        <w:br/>
        <w:t>Prefeito Municipal</w:t>
      </w:r>
    </w:p>
    <w:sectPr w:rsidR="00F06B11" w:rsidRPr="00C25302" w:rsidSect="00F06B11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11"/>
    <w:rsid w:val="0013568B"/>
    <w:rsid w:val="003617AF"/>
    <w:rsid w:val="004D58A5"/>
    <w:rsid w:val="006C1507"/>
    <w:rsid w:val="006E7645"/>
    <w:rsid w:val="00741E57"/>
    <w:rsid w:val="007A42B3"/>
    <w:rsid w:val="008A41B4"/>
    <w:rsid w:val="00A23A57"/>
    <w:rsid w:val="00AA2313"/>
    <w:rsid w:val="00B92640"/>
    <w:rsid w:val="00BC0DBC"/>
    <w:rsid w:val="00C25302"/>
    <w:rsid w:val="00DC01D7"/>
    <w:rsid w:val="00EB1A96"/>
    <w:rsid w:val="00F06B11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F06B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06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F06B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06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cessos\consolida\lei\jInGvlhLAU3dTMBj.html%3ftimeline=04\05\2021&amp;origem=50142" TargetMode="External"/><Relationship Id="rId13" Type="http://schemas.openxmlformats.org/officeDocument/2006/relationships/hyperlink" Target="file:///C:\acessos\consolida\lei\jInGvlhLAU3dTMBj.html%3ftimeline=04\05\2021&amp;origem=50142" TargetMode="External"/><Relationship Id="rId18" Type="http://schemas.openxmlformats.org/officeDocument/2006/relationships/hyperlink" Target="file:///C:\acessos\consolida\lei\jInGvlhLAU3dTMBj.html%3ftimeline=04\05\2021&amp;origem=50142" TargetMode="External"/><Relationship Id="rId26" Type="http://schemas.openxmlformats.org/officeDocument/2006/relationships/hyperlink" Target="file:///C:\acessos\consolida\lei\jInGvlhLAU3dTMBj.html%3ftimeline=04\05\2021&amp;origem=50142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acessos\consolida\lei\jInGvlhLAU3dTMBj.html%3ftimeline=04\05\2021&amp;origem=50142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acessos\consolida\lei\jInGvlhLAU3dTMBj.html%3ftimeline=04\05\2021&amp;origem=50142" TargetMode="External"/><Relationship Id="rId12" Type="http://schemas.openxmlformats.org/officeDocument/2006/relationships/hyperlink" Target="file:///C:\acessos\consolida\lei\jInGvlhLAU3dTMBj.html%3ftimeline=04\05\2021&amp;origem=50142" TargetMode="External"/><Relationship Id="rId17" Type="http://schemas.openxmlformats.org/officeDocument/2006/relationships/hyperlink" Target="file:///C:\acessos\consolida\lei\jInGvlhLAU3dTMBj.html%3ftimeline=04\05\2021&amp;origem=50142" TargetMode="External"/><Relationship Id="rId25" Type="http://schemas.openxmlformats.org/officeDocument/2006/relationships/hyperlink" Target="file:///C:\acessos\consolida\lei\jInGvlhLAU3dTMBj.html%3ftimeline=04\05\2021&amp;origem=50142" TargetMode="External"/><Relationship Id="rId33" Type="http://schemas.openxmlformats.org/officeDocument/2006/relationships/hyperlink" Target="file:///C:\acessos\consolida\lei\jInGvlhLAU3dTMBj.html%3ftimeline=04\05\2021&amp;origem=5014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acessos\consolida\lei\jInGvlhLAU3dTMBj.html%3ftimeline=04\05\2021&amp;origem=50142" TargetMode="External"/><Relationship Id="rId20" Type="http://schemas.openxmlformats.org/officeDocument/2006/relationships/hyperlink" Target="file:///C:\acessos\consolida\lei\jInGvlhLAU3dTMBj.html%3ftimeline=04\05\2021&amp;origem=50142" TargetMode="External"/><Relationship Id="rId29" Type="http://schemas.openxmlformats.org/officeDocument/2006/relationships/hyperlink" Target="file:///C:\acessos\consolida\lei\jInGvlhLAU3dTMBj.html%3ftimeline=04\05\2021&amp;origem=501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cessos\consolida\lei\jInGvlhLAU3dTMBj.html%3ftimeline=04\05\2021&amp;origem=50142" TargetMode="External"/><Relationship Id="rId24" Type="http://schemas.openxmlformats.org/officeDocument/2006/relationships/hyperlink" Target="file:///C:\acessos\consolida\lei\jInGvlhLAU3dTMBj.html%3ftimeline=04\05\2021&amp;origem=50142" TargetMode="External"/><Relationship Id="rId32" Type="http://schemas.openxmlformats.org/officeDocument/2006/relationships/hyperlink" Target="file:///C:\acessos\consolida\lei\jInGvlhLAU3dTMBj.html%3ftimeline=04\05\2021&amp;origem=50142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acessos\consolida\lei\jInGvlhLAU3dTMBj.html%3ftimeline=04\05\2021&amp;origem=50142" TargetMode="External"/><Relationship Id="rId23" Type="http://schemas.openxmlformats.org/officeDocument/2006/relationships/hyperlink" Target="file:///C:\acessos\consolida\lei\jInGvlhLAU3dTMBj.html%3ftimeline=04\05\2021&amp;origem=50142" TargetMode="External"/><Relationship Id="rId28" Type="http://schemas.openxmlformats.org/officeDocument/2006/relationships/hyperlink" Target="file:///C:\acessos\consolida\lei\jInGvlhLAU3dTMBj.html%3ftimeline=04\05\2021&amp;origem=50142" TargetMode="External"/><Relationship Id="rId10" Type="http://schemas.openxmlformats.org/officeDocument/2006/relationships/hyperlink" Target="file:///C:\acessos\consolida\lei\jInGvlhLAU3dTMBj.html%3ftimeline=04\05\2021&amp;origem=50142" TargetMode="External"/><Relationship Id="rId19" Type="http://schemas.openxmlformats.org/officeDocument/2006/relationships/hyperlink" Target="file:///C:\acessos\consolida\lei\jInGvlhLAU3dTMBj.html%3ftimeline=04\05\2021&amp;origem=50142" TargetMode="External"/><Relationship Id="rId31" Type="http://schemas.openxmlformats.org/officeDocument/2006/relationships/hyperlink" Target="file:///C:\acessos\consolida\lei\jInGvlhLAU3dTMBj.html%3ftimeline=04\05\2021&amp;origem=50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acessos\consolida\lei\jInGvlhLAU3dTMBj.html%3ftimeline=04\05\2021&amp;origem=50142" TargetMode="External"/><Relationship Id="rId14" Type="http://schemas.openxmlformats.org/officeDocument/2006/relationships/hyperlink" Target="file:///C:\acessos\consolida\lei\jInGvlhLAU3dTMBj.html%3ftimeline=04\05\2021&amp;origem=50142" TargetMode="External"/><Relationship Id="rId22" Type="http://schemas.openxmlformats.org/officeDocument/2006/relationships/hyperlink" Target="file:///C:\acessos\consolida\lei\jInGvlhLAU3dTMBj.html%3ftimeline=04\05\2021&amp;origem=50142" TargetMode="External"/><Relationship Id="rId27" Type="http://schemas.openxmlformats.org/officeDocument/2006/relationships/hyperlink" Target="file:///C:\acessos\consolida\lei\jInGvlhLAU3dTMBj.html%3ftimeline=04\05\2021&amp;origem=50142" TargetMode="External"/><Relationship Id="rId30" Type="http://schemas.openxmlformats.org/officeDocument/2006/relationships/hyperlink" Target="file:///C:\acessos\consolida\lei\jInGvlhLAU3dTMBj.html%3ftimeline=04\05\2021&amp;origem=5014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3001-EE6A-4B9A-A461-E316CCFB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Gabriel Venzon</cp:lastModifiedBy>
  <cp:revision>2</cp:revision>
  <dcterms:created xsi:type="dcterms:W3CDTF">2021-05-12T12:32:00Z</dcterms:created>
  <dcterms:modified xsi:type="dcterms:W3CDTF">2021-05-12T12:32:00Z</dcterms:modified>
</cp:coreProperties>
</file>