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9F" w:rsidRDefault="00A74F72" w:rsidP="00A74F72">
      <w:pPr>
        <w:shd w:val="clear" w:color="auto" w:fill="FFFFFF"/>
        <w:spacing w:before="120" w:after="120" w:line="240" w:lineRule="atLeast"/>
        <w:jc w:val="center"/>
        <w:divId w:val="146673622"/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</w:pPr>
      <w:bookmarkStart w:id="0" w:name="_GoBack"/>
      <w:bookmarkEnd w:id="0"/>
      <w:r w:rsidRPr="00A74F72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PROJETO DE LEI Nº 56, DE 13 DE NOVEMBRO DE 2020</w:t>
      </w:r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.</w:t>
      </w:r>
    </w:p>
    <w:p w:rsidR="00A74F72" w:rsidRPr="00A74F72" w:rsidRDefault="00A74F72" w:rsidP="00A74F72">
      <w:pPr>
        <w:shd w:val="clear" w:color="auto" w:fill="FFFFFF"/>
        <w:spacing w:line="200" w:lineRule="atLeast"/>
        <w:jc w:val="center"/>
        <w:divId w:val="146673622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ind w:left="4536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Fonts w:ascii="Arial" w:hAnsi="Arial" w:cs="Arial"/>
          <w:color w:val="000000"/>
          <w:sz w:val="20"/>
          <w:szCs w:val="20"/>
        </w:rPr>
        <w:t>Estima a Receita e fixa a Despesa do Município de Farroupilha para o exercício de 2021.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ind w:firstLine="1418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Fonts w:ascii="Arial" w:hAnsi="Arial" w:cs="Arial"/>
          <w:color w:val="000000"/>
          <w:sz w:val="20"/>
          <w:szCs w:val="20"/>
        </w:rPr>
        <w:t> </w:t>
      </w:r>
    </w:p>
    <w:p w:rsidR="00323A9F" w:rsidRDefault="00A74F72" w:rsidP="00A74F72">
      <w:pPr>
        <w:shd w:val="clear" w:color="auto" w:fill="FFFFFF"/>
        <w:spacing w:before="120" w:after="120" w:line="240" w:lineRule="atLeast"/>
        <w:ind w:firstLine="567"/>
        <w:jc w:val="both"/>
        <w:divId w:val="146673622"/>
        <w:rPr>
          <w:rFonts w:ascii="Arial" w:eastAsia="Times New Roman" w:hAnsi="Arial" w:cs="Arial"/>
          <w:color w:val="000000"/>
          <w:sz w:val="20"/>
          <w:szCs w:val="20"/>
        </w:rPr>
      </w:pPr>
      <w:r w:rsidRPr="00A74F72">
        <w:rPr>
          <w:rFonts w:ascii="Arial" w:eastAsia="Times New Roman" w:hAnsi="Arial" w:cs="Arial"/>
          <w:color w:val="000000"/>
          <w:sz w:val="20"/>
          <w:szCs w:val="20"/>
        </w:rPr>
        <w:t xml:space="preserve">    O </w:t>
      </w:r>
      <w:r w:rsidRPr="00A74F72">
        <w:rPr>
          <w:rStyle w:val="Forte"/>
          <w:rFonts w:ascii="Arial" w:eastAsia="Times New Roman" w:hAnsi="Arial" w:cs="Arial"/>
          <w:color w:val="000000"/>
          <w:sz w:val="20"/>
          <w:szCs w:val="20"/>
        </w:rPr>
        <w:t>PREFEITO MUNICIPAL DE FARROUPILHA</w:t>
      </w:r>
      <w:r w:rsidRPr="00A74F72">
        <w:rPr>
          <w:rFonts w:ascii="Arial" w:eastAsia="Times New Roman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A74F72" w:rsidRPr="00A74F72" w:rsidRDefault="00A74F72" w:rsidP="00A74F72">
      <w:pPr>
        <w:shd w:val="clear" w:color="auto" w:fill="FFFFFF"/>
        <w:spacing w:before="120" w:after="120" w:line="200" w:lineRule="atLeast"/>
        <w:ind w:firstLine="1418"/>
        <w:jc w:val="both"/>
        <w:divId w:val="146673622"/>
        <w:rPr>
          <w:rFonts w:ascii="Arial" w:eastAsia="Times New Roman" w:hAnsi="Arial" w:cs="Arial"/>
          <w:color w:val="000000"/>
          <w:sz w:val="20"/>
          <w:szCs w:val="20"/>
        </w:rPr>
      </w:pP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CAPÍTULO I </w:t>
      </w:r>
      <w:r w:rsidRPr="00A74F72">
        <w:rPr>
          <w:rFonts w:ascii="Arial" w:hAnsi="Arial" w:cs="Arial"/>
          <w:color w:val="000000"/>
          <w:sz w:val="20"/>
          <w:szCs w:val="20"/>
        </w:rPr>
        <w:br/>
        <w:t>DISPOSIÇÕES PRELIMINARES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1º </w:t>
      </w:r>
      <w:r w:rsidRPr="00A74F72">
        <w:rPr>
          <w:rFonts w:ascii="Arial" w:hAnsi="Arial" w:cs="Arial"/>
          <w:color w:val="000000"/>
          <w:sz w:val="20"/>
          <w:szCs w:val="20"/>
        </w:rPr>
        <w:t>Esta Lei estima a Receita e fixa a Despesa do Município para o exercício financeiro de 2021, referente aos Poderes do Município, seus fundos e órgãos.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Parágrafo único. </w:t>
      </w:r>
      <w:r w:rsidRPr="00A74F72">
        <w:rPr>
          <w:rFonts w:ascii="Arial" w:hAnsi="Arial" w:cs="Arial"/>
          <w:color w:val="000000"/>
          <w:sz w:val="20"/>
          <w:szCs w:val="20"/>
        </w:rPr>
        <w:t> Constituem anexos e fazem parte desta Lei: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A74F72">
        <w:rPr>
          <w:rFonts w:ascii="Arial" w:hAnsi="Arial" w:cs="Arial"/>
          <w:color w:val="000000"/>
          <w:sz w:val="20"/>
          <w:szCs w:val="20"/>
        </w:rPr>
        <w:t>anexo de compatibilidade do orçamento com o anexo de metas fiscais;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>II - anexos orçamentários nº 1, 2, 6, 7, 8 e 9 da Lei nº 4.320, de 1964;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III - </w:t>
      </w:r>
      <w:r w:rsidRPr="00A74F72">
        <w:rPr>
          <w:rFonts w:ascii="Arial" w:hAnsi="Arial" w:cs="Arial"/>
          <w:color w:val="000000"/>
          <w:sz w:val="20"/>
          <w:szCs w:val="20"/>
        </w:rPr>
        <w:t>quadro discriminativo da receita por fontes;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IV - </w:t>
      </w:r>
      <w:r w:rsidRPr="00A74F72">
        <w:rPr>
          <w:rFonts w:ascii="Arial" w:hAnsi="Arial" w:cs="Arial"/>
          <w:color w:val="000000"/>
          <w:sz w:val="20"/>
          <w:szCs w:val="20"/>
        </w:rPr>
        <w:t>descrição de cada unidade administrativa e de suas principais finalidades;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V - </w:t>
      </w:r>
      <w:r w:rsidRPr="00A74F72">
        <w:rPr>
          <w:rFonts w:ascii="Arial" w:hAnsi="Arial" w:cs="Arial"/>
          <w:color w:val="000000"/>
          <w:sz w:val="20"/>
          <w:szCs w:val="20"/>
        </w:rPr>
        <w:t>quadro de percentual previsto para aplicação em cada secretaria;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VI - </w:t>
      </w:r>
      <w:r w:rsidRPr="00A74F72">
        <w:rPr>
          <w:rFonts w:ascii="Arial" w:hAnsi="Arial" w:cs="Arial"/>
          <w:color w:val="000000"/>
          <w:sz w:val="20"/>
          <w:szCs w:val="20"/>
        </w:rPr>
        <w:t>demonstrativo das receitas e despesas com Manutenção e Desenvolvimento do Ensino (MDE);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VII - </w:t>
      </w:r>
      <w:r w:rsidRPr="00A74F72">
        <w:rPr>
          <w:rFonts w:ascii="Arial" w:hAnsi="Arial" w:cs="Arial"/>
          <w:color w:val="000000"/>
          <w:sz w:val="20"/>
          <w:szCs w:val="20"/>
        </w:rPr>
        <w:t>demonstrativo das receitas e despesas com Ações e Serviços Públicos de Saúde (ASPS);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Fonts w:ascii="Arial" w:hAnsi="Arial" w:cs="Arial"/>
          <w:color w:val="000000"/>
          <w:sz w:val="20"/>
          <w:szCs w:val="20"/>
        </w:rPr>
        <w:t> </w:t>
      </w: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VIII - </w:t>
      </w:r>
      <w:r w:rsidRPr="00A74F72">
        <w:rPr>
          <w:rFonts w:ascii="Arial" w:hAnsi="Arial" w:cs="Arial"/>
          <w:color w:val="000000"/>
          <w:sz w:val="20"/>
          <w:szCs w:val="20"/>
        </w:rPr>
        <w:t>demonstrativo da Receita Corrente Líquida (RCL) projetada para 2021;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>IX -</w:t>
      </w:r>
      <w:r w:rsidRPr="00A74F72">
        <w:rPr>
          <w:rFonts w:ascii="Arial" w:hAnsi="Arial" w:cs="Arial"/>
          <w:color w:val="000000"/>
          <w:sz w:val="20"/>
          <w:szCs w:val="20"/>
        </w:rPr>
        <w:t> anexo demonstrativo da despesa com pessoal do Executivo, do Legislativo e consolidado do Município orçado para 2021;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X - </w:t>
      </w:r>
      <w:r w:rsidRPr="00A74F72">
        <w:rPr>
          <w:rFonts w:ascii="Arial" w:hAnsi="Arial" w:cs="Arial"/>
          <w:color w:val="000000"/>
          <w:sz w:val="20"/>
          <w:szCs w:val="20"/>
        </w:rPr>
        <w:t xml:space="preserve">demonstrativo e metodologia de cálculo da receita e da despesa do Município para o exercício a que se refere </w:t>
      </w:r>
      <w:proofErr w:type="gramStart"/>
      <w:r w:rsidRPr="00A74F72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74F72">
        <w:rPr>
          <w:rFonts w:ascii="Arial" w:hAnsi="Arial" w:cs="Arial"/>
          <w:color w:val="000000"/>
          <w:sz w:val="20"/>
          <w:szCs w:val="20"/>
        </w:rPr>
        <w:t xml:space="preserve"> proposta e os dois seguintes, a receita realizada dos três últimos exercícios encerrados e a </w:t>
      </w:r>
      <w:proofErr w:type="spellStart"/>
      <w:r w:rsidRPr="00A74F72">
        <w:rPr>
          <w:rFonts w:ascii="Arial" w:hAnsi="Arial" w:cs="Arial"/>
          <w:color w:val="000000"/>
          <w:sz w:val="20"/>
          <w:szCs w:val="20"/>
        </w:rPr>
        <w:t>reestimada</w:t>
      </w:r>
      <w:proofErr w:type="spellEnd"/>
      <w:r w:rsidRPr="00A74F72">
        <w:rPr>
          <w:rFonts w:ascii="Arial" w:hAnsi="Arial" w:cs="Arial"/>
          <w:color w:val="000000"/>
          <w:sz w:val="20"/>
          <w:szCs w:val="20"/>
        </w:rPr>
        <w:t xml:space="preserve"> para o exercício corrente;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XI - </w:t>
      </w:r>
      <w:r w:rsidRPr="00A74F72">
        <w:rPr>
          <w:rFonts w:ascii="Arial" w:hAnsi="Arial" w:cs="Arial"/>
          <w:color w:val="000000"/>
          <w:sz w:val="20"/>
          <w:szCs w:val="20"/>
        </w:rPr>
        <w:t>demonstrativo da estimativa e compensação da renúncia da receita;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XII - </w:t>
      </w:r>
      <w:r w:rsidRPr="00A74F72">
        <w:rPr>
          <w:rFonts w:ascii="Arial" w:hAnsi="Arial" w:cs="Arial"/>
          <w:color w:val="000000"/>
          <w:sz w:val="20"/>
          <w:szCs w:val="20"/>
        </w:rPr>
        <w:t>demonstrativo da margem de expansão das despesas obrigatórias de caráter continuado;</w:t>
      </w: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XIII - </w:t>
      </w:r>
      <w:r w:rsidRPr="00A74F72">
        <w:rPr>
          <w:rFonts w:ascii="Arial" w:hAnsi="Arial" w:cs="Arial"/>
          <w:color w:val="000000"/>
          <w:sz w:val="20"/>
          <w:szCs w:val="20"/>
        </w:rPr>
        <w:t>quadros demonstrativos da receita e planos de aplicação dos fundos especiais.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A74F72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Style w:val="numeracao"/>
          <w:rFonts w:ascii="Arial" w:hAnsi="Arial" w:cs="Arial"/>
          <w:color w:val="000000"/>
          <w:sz w:val="20"/>
          <w:szCs w:val="20"/>
        </w:rPr>
      </w:pPr>
    </w:p>
    <w:p w:rsidR="00A74F72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Style w:val="numeracao"/>
          <w:rFonts w:ascii="Arial" w:hAnsi="Arial" w:cs="Arial"/>
          <w:color w:val="000000"/>
          <w:sz w:val="20"/>
          <w:szCs w:val="20"/>
        </w:rPr>
      </w:pP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lastRenderedPageBreak/>
        <w:t xml:space="preserve">CAPÍTULO II </w:t>
      </w:r>
      <w:r w:rsidRPr="00A74F72">
        <w:rPr>
          <w:rFonts w:ascii="Arial" w:hAnsi="Arial" w:cs="Arial"/>
          <w:color w:val="000000"/>
          <w:sz w:val="20"/>
          <w:szCs w:val="20"/>
        </w:rPr>
        <w:br/>
        <w:t>DO ORÇAMENTO 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b/>
          <w:color w:val="000000"/>
          <w:sz w:val="20"/>
          <w:szCs w:val="20"/>
        </w:rPr>
        <w:t>Seção I</w:t>
      </w: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 </w:t>
      </w:r>
      <w:r w:rsidRPr="00A74F72">
        <w:rPr>
          <w:rFonts w:ascii="Arial" w:hAnsi="Arial" w:cs="Arial"/>
          <w:color w:val="000000"/>
          <w:sz w:val="20"/>
          <w:szCs w:val="20"/>
        </w:rPr>
        <w:br/>
      </w:r>
      <w:r w:rsidRPr="00A74F72">
        <w:rPr>
          <w:rStyle w:val="Forte"/>
          <w:rFonts w:ascii="Arial" w:hAnsi="Arial" w:cs="Arial"/>
          <w:color w:val="000000"/>
          <w:sz w:val="20"/>
          <w:szCs w:val="20"/>
        </w:rPr>
        <w:t>Da Estimativa da Receita</w:t>
      </w:r>
      <w:r w:rsidRPr="00A74F72">
        <w:rPr>
          <w:rFonts w:ascii="Arial" w:hAnsi="Arial" w:cs="Arial"/>
          <w:color w:val="000000"/>
          <w:sz w:val="20"/>
          <w:szCs w:val="20"/>
        </w:rPr>
        <w:t> 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1418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2º </w:t>
      </w:r>
      <w:r w:rsidRPr="00A74F72">
        <w:rPr>
          <w:rFonts w:ascii="Arial" w:hAnsi="Arial" w:cs="Arial"/>
          <w:color w:val="000000"/>
          <w:sz w:val="20"/>
          <w:szCs w:val="20"/>
        </w:rPr>
        <w:t>A Receita Orçamentária é estimada no mesmo valor da Despesa Orçamentária, em R$ 310.000.000,00 (trezentos e dez milhões de reais).</w:t>
      </w:r>
    </w:p>
    <w:p w:rsid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1418"/>
        <w:jc w:val="both"/>
        <w:divId w:val="146673622"/>
        <w:rPr>
          <w:rStyle w:val="numeracao"/>
          <w:rFonts w:ascii="Arial" w:hAnsi="Arial" w:cs="Arial"/>
          <w:b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3º </w:t>
      </w:r>
      <w:r w:rsidRPr="00A74F72">
        <w:rPr>
          <w:rFonts w:ascii="Arial" w:hAnsi="Arial" w:cs="Arial"/>
          <w:color w:val="000000"/>
          <w:sz w:val="20"/>
          <w:szCs w:val="20"/>
        </w:rPr>
        <w:t>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84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016"/>
        <w:gridCol w:w="1120"/>
      </w:tblGrid>
      <w:tr w:rsidR="00A74F72" w:rsidRPr="003920C4" w:rsidTr="00A74F72">
        <w:trPr>
          <w:divId w:val="146673622"/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72" w:rsidRPr="003920C4" w:rsidRDefault="00A74F72" w:rsidP="00261F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72" w:rsidRPr="003920C4" w:rsidRDefault="00A74F72" w:rsidP="00261F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VALOR EM R$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72" w:rsidRPr="003920C4" w:rsidRDefault="00A74F72" w:rsidP="00261F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1 - RECEITAS CORRENTES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297.186.000,00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95,87%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Impostos, Taxas e Contribuições de Melhoria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61.395.500,00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19,81%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Contribuições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3,01%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Receita Patrimonial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21.429.300,00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6,91%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Receita de Serviços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Transferências Correntes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204.350.700,00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65,92%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Outras Receitas Correntes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2 - RECEITAS DE CAPITAL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16.269.000,00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5,24%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Operações de Créditos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10.640.000,00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3,43%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Alienação de Bens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Amortização de Empréstimos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Transferências de Capital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5.460.500,00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Outras Receitas de Capital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3 - RECEITAS INTRAORÇAMENTÁRIAS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22.961.000,00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7,41%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4 - DEDUÇÕES DA RECEITA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(26.416.000,00)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(8,52%)</w:t>
            </w:r>
          </w:p>
        </w:tc>
      </w:tr>
      <w:tr w:rsidR="00A74F72" w:rsidRPr="003920C4" w:rsidTr="00A74F72">
        <w:trPr>
          <w:divId w:val="146673622"/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310.000.000,00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A74F72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divId w:val="146673622"/>
        <w:rPr>
          <w:rStyle w:val="numeracao"/>
          <w:rFonts w:ascii="Arial" w:hAnsi="Arial" w:cs="Arial"/>
          <w:b/>
          <w:color w:val="000000"/>
          <w:sz w:val="20"/>
          <w:szCs w:val="20"/>
        </w:rPr>
      </w:pP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Style w:val="Forte"/>
          <w:rFonts w:ascii="Arial" w:hAnsi="Arial" w:cs="Arial"/>
          <w:color w:val="000000"/>
          <w:sz w:val="20"/>
          <w:szCs w:val="20"/>
        </w:rPr>
      </w:pPr>
      <w:r>
        <w:rPr>
          <w:rStyle w:val="numeracao"/>
          <w:rFonts w:ascii="Arial" w:hAnsi="Arial" w:cs="Arial"/>
          <w:b/>
          <w:color w:val="000000"/>
          <w:sz w:val="20"/>
          <w:szCs w:val="20"/>
        </w:rPr>
        <w:t>Seção II</w:t>
      </w:r>
      <w:r w:rsidRPr="00A74F72">
        <w:rPr>
          <w:rFonts w:ascii="Arial" w:hAnsi="Arial" w:cs="Arial"/>
          <w:b/>
          <w:color w:val="000000"/>
          <w:sz w:val="20"/>
          <w:szCs w:val="20"/>
        </w:rPr>
        <w:br/>
      </w:r>
      <w:r w:rsidRPr="00A74F72">
        <w:rPr>
          <w:rStyle w:val="Forte"/>
          <w:rFonts w:ascii="Arial" w:hAnsi="Arial" w:cs="Arial"/>
          <w:color w:val="000000"/>
          <w:sz w:val="20"/>
          <w:szCs w:val="20"/>
        </w:rPr>
        <w:t>Da Fixação da Despesa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4º </w:t>
      </w:r>
      <w:r w:rsidRPr="00A74F72">
        <w:rPr>
          <w:rFonts w:ascii="Arial" w:hAnsi="Arial" w:cs="Arial"/>
          <w:color w:val="000000"/>
          <w:sz w:val="20"/>
          <w:szCs w:val="20"/>
        </w:rPr>
        <w:t>A Despesa Orçamentária, no mesmo valor da Receita Orçamentária, é fixada em R$ 310.000.000,00 (trezentos e dez milhões de reais) sendo: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A74F72">
        <w:rPr>
          <w:rFonts w:ascii="Arial" w:hAnsi="Arial" w:cs="Arial"/>
          <w:color w:val="000000"/>
          <w:sz w:val="20"/>
          <w:szCs w:val="20"/>
        </w:rPr>
        <w:t>no Poder Executivo, em R$ 256.400.000,00 (duzentos e cinquenta e seis milhões e quatrocentos mil reais);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lastRenderedPageBreak/>
        <w:t>II -</w:t>
      </w:r>
      <w:r w:rsidRPr="00A74F72">
        <w:rPr>
          <w:rFonts w:ascii="Arial" w:hAnsi="Arial" w:cs="Arial"/>
          <w:color w:val="000000"/>
          <w:sz w:val="20"/>
          <w:szCs w:val="20"/>
        </w:rPr>
        <w:t> no Poder Legislativo, em R$ 3.600.000,00 (três milhões e seiscentos mil reais);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III - </w:t>
      </w:r>
      <w:r w:rsidRPr="00A74F72">
        <w:rPr>
          <w:rFonts w:ascii="Arial" w:hAnsi="Arial" w:cs="Arial"/>
          <w:color w:val="000000"/>
          <w:sz w:val="20"/>
          <w:szCs w:val="20"/>
        </w:rPr>
        <w:t>no Fundo de Previdência do Servidor, em R$ 50.000.000,00 (cinquenta milhões de reais).</w:t>
      </w: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5º </w:t>
      </w:r>
      <w:r w:rsidRPr="00A74F72">
        <w:rPr>
          <w:rFonts w:ascii="Arial" w:hAnsi="Arial" w:cs="Arial"/>
          <w:color w:val="000000"/>
          <w:sz w:val="20"/>
          <w:szCs w:val="20"/>
        </w:rPr>
        <w:t>A despesa total fixada apresenta o seguinte desdobramento:</w:t>
      </w:r>
    </w:p>
    <w:p w:rsidR="00A74F72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</w:p>
    <w:tbl>
      <w:tblPr>
        <w:tblW w:w="8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016"/>
        <w:gridCol w:w="1120"/>
      </w:tblGrid>
      <w:tr w:rsidR="00A74F72" w:rsidRPr="004B2B24" w:rsidTr="00A74F72">
        <w:trPr>
          <w:divId w:val="146673622"/>
          <w:trHeight w:val="6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72" w:rsidRPr="003920C4" w:rsidRDefault="00A74F72" w:rsidP="00261F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72" w:rsidRPr="003920C4" w:rsidRDefault="00A74F72" w:rsidP="00261F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VALOR EM R$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72" w:rsidRPr="003920C4" w:rsidRDefault="00A74F72" w:rsidP="00261F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1 - DESPESAS CORRENTES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271.094.250,00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87,45%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Pessoal e Encargos Sociais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143.803.412,50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46,39%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123.690.837,50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39,90%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2 - RECEITAS DE CAPITAL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23.805.750,00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7,68%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18.618.750,00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6,01%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1,67%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3 - RESERVA DO RPPS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15.000.000,00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4,84%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4 - RESERVA DE CONTINGÊNCIA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0,03%</w:t>
            </w:r>
          </w:p>
        </w:tc>
      </w:tr>
      <w:tr w:rsidR="00A74F72" w:rsidRPr="004B2B24" w:rsidTr="00A74F72">
        <w:trPr>
          <w:divId w:val="146673622"/>
          <w:trHeight w:val="30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GERAL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310.000.000,00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72" w:rsidRPr="003920C4" w:rsidRDefault="00A74F72" w:rsidP="00261F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ind w:firstLine="567"/>
        <w:jc w:val="both"/>
        <w:divId w:val="146673622"/>
        <w:rPr>
          <w:rFonts w:ascii="Arial" w:hAnsi="Arial" w:cs="Arial"/>
          <w:b/>
          <w:color w:val="000000"/>
          <w:sz w:val="20"/>
          <w:szCs w:val="20"/>
        </w:rPr>
      </w:pP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b/>
          <w:color w:val="000000"/>
          <w:sz w:val="20"/>
          <w:szCs w:val="20"/>
        </w:rPr>
        <w:t xml:space="preserve">Seção III </w:t>
      </w:r>
      <w:r w:rsidRPr="00A74F72">
        <w:rPr>
          <w:rFonts w:ascii="Arial" w:hAnsi="Arial" w:cs="Arial"/>
          <w:color w:val="000000"/>
          <w:sz w:val="20"/>
          <w:szCs w:val="20"/>
        </w:rPr>
        <w:br/>
      </w:r>
      <w:r w:rsidRPr="00A74F72">
        <w:rPr>
          <w:rStyle w:val="Forte"/>
          <w:rFonts w:ascii="Arial" w:hAnsi="Arial" w:cs="Arial"/>
          <w:color w:val="000000"/>
          <w:sz w:val="20"/>
          <w:szCs w:val="20"/>
        </w:rPr>
        <w:t>Da Autorização para Abertura de Créditos Suplementares</w:t>
      </w:r>
      <w:r w:rsidRPr="00A74F72">
        <w:rPr>
          <w:rFonts w:ascii="Arial" w:hAnsi="Arial" w:cs="Arial"/>
          <w:color w:val="000000"/>
          <w:sz w:val="20"/>
          <w:szCs w:val="20"/>
        </w:rPr>
        <w:t> 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6º </w:t>
      </w:r>
      <w:r w:rsidRPr="00A74F72">
        <w:rPr>
          <w:rFonts w:ascii="Arial" w:hAnsi="Arial" w:cs="Arial"/>
          <w:color w:val="000000"/>
          <w:sz w:val="20"/>
          <w:szCs w:val="20"/>
        </w:rPr>
        <w:t>Ficam autorizados: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A74F72">
        <w:rPr>
          <w:rFonts w:ascii="Arial" w:hAnsi="Arial" w:cs="Arial"/>
          <w:color w:val="000000"/>
          <w:sz w:val="20"/>
          <w:szCs w:val="20"/>
        </w:rPr>
        <w:t xml:space="preserve">Ao Poder Executivo, mediante Decreto, a abertura de Créditos Suplementares até o limite de 35% (trinta e cinco por cento) da sua despesa total fixada, compreendendo as operações </w:t>
      </w:r>
      <w:proofErr w:type="spellStart"/>
      <w:r w:rsidRPr="00A74F72">
        <w:rPr>
          <w:rFonts w:ascii="Arial" w:hAnsi="Arial" w:cs="Arial"/>
          <w:color w:val="000000"/>
          <w:sz w:val="20"/>
          <w:szCs w:val="20"/>
        </w:rPr>
        <w:t>intraorçamentárias</w:t>
      </w:r>
      <w:proofErr w:type="spellEnd"/>
      <w:r w:rsidRPr="00A74F72">
        <w:rPr>
          <w:rFonts w:ascii="Arial" w:hAnsi="Arial" w:cs="Arial"/>
          <w:color w:val="000000"/>
          <w:sz w:val="20"/>
          <w:szCs w:val="20"/>
        </w:rPr>
        <w:t>, com a finalidade de suprir insuficiências de dotações orçamentárias, mediante a utilização de recursos provenientes de: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a) </w:t>
      </w:r>
      <w:r w:rsidRPr="00A74F72">
        <w:rPr>
          <w:rFonts w:ascii="Arial" w:hAnsi="Arial" w:cs="Arial"/>
          <w:color w:val="000000"/>
          <w:sz w:val="20"/>
          <w:szCs w:val="20"/>
        </w:rPr>
        <w:t> anulação parcial ou total de suas dotações;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b) </w:t>
      </w:r>
      <w:r w:rsidRPr="00A74F72">
        <w:rPr>
          <w:rFonts w:ascii="Arial" w:hAnsi="Arial" w:cs="Arial"/>
          <w:color w:val="000000"/>
          <w:sz w:val="20"/>
          <w:szCs w:val="20"/>
        </w:rPr>
        <w:t> incorporação de superávit e/ou saldo financeiro disponível do exercício anterior, efetivamente apurados em balanço;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c) </w:t>
      </w:r>
      <w:r w:rsidRPr="00A74F72">
        <w:rPr>
          <w:rFonts w:ascii="Arial" w:hAnsi="Arial" w:cs="Arial"/>
          <w:color w:val="000000"/>
          <w:sz w:val="20"/>
          <w:szCs w:val="20"/>
        </w:rPr>
        <w:t> excesso de arrecadação, entendido como o saldo positivo das diferenças mês a mês entre a arrecadação prevista e a realizada, considerando-se, ainda, a tendência do exercício.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II - </w:t>
      </w:r>
      <w:r w:rsidRPr="00A74F72">
        <w:rPr>
          <w:rFonts w:ascii="Arial" w:hAnsi="Arial" w:cs="Arial"/>
          <w:color w:val="000000"/>
          <w:sz w:val="20"/>
          <w:szCs w:val="20"/>
        </w:rPr>
        <w:t xml:space="preserve">Ao Poder Legislativo, mediante Decreto, a abertura de Créditos Suplementares até o limite de 35% (trinta e cinco por cento) da sua despesa total fixada, compreendendo as operações </w:t>
      </w:r>
      <w:proofErr w:type="spellStart"/>
      <w:r w:rsidRPr="00A74F72">
        <w:rPr>
          <w:rFonts w:ascii="Arial" w:hAnsi="Arial" w:cs="Arial"/>
          <w:color w:val="000000"/>
          <w:sz w:val="20"/>
          <w:szCs w:val="20"/>
        </w:rPr>
        <w:t>intraorçamentárias</w:t>
      </w:r>
      <w:proofErr w:type="spellEnd"/>
      <w:r w:rsidRPr="00A74F72">
        <w:rPr>
          <w:rFonts w:ascii="Arial" w:hAnsi="Arial" w:cs="Arial"/>
          <w:color w:val="000000"/>
          <w:sz w:val="20"/>
          <w:szCs w:val="20"/>
        </w:rPr>
        <w:t>, com a finalidade de suprir insuficiências de suas dotações orçamentárias, desde que sejam indicados como recursos a anulação parcial ou total de dotações do próprio Poder Legislativo.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lastRenderedPageBreak/>
        <w:t xml:space="preserve">Parágrafo único. </w:t>
      </w:r>
      <w:r w:rsidRPr="00A74F72">
        <w:rPr>
          <w:rFonts w:ascii="Arial" w:hAnsi="Arial" w:cs="Arial"/>
          <w:color w:val="000000"/>
          <w:sz w:val="20"/>
          <w:szCs w:val="20"/>
        </w:rPr>
        <w:t>Também poderá ser considerado como superávit financeiro do exercício anterior, para fins da alínea b do inciso I do caput, os recursos que forem disponibilizados a partir do cancelamento de restos a pagar durante o exercício de 2021, obedecida a fonte de recursos correspondente.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7º </w:t>
      </w:r>
      <w:r w:rsidRPr="00A74F72">
        <w:rPr>
          <w:rFonts w:ascii="Arial" w:hAnsi="Arial" w:cs="Arial"/>
          <w:color w:val="000000"/>
          <w:sz w:val="20"/>
          <w:szCs w:val="20"/>
        </w:rPr>
        <w:t>No caso do Poder Executivo, o limite autorizado no artigo 6º, inciso I, não será onerado quando o crédito suplementar se destinar a atender: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A74F72">
        <w:rPr>
          <w:rFonts w:ascii="Arial" w:hAnsi="Arial" w:cs="Arial"/>
          <w:color w:val="000000"/>
          <w:sz w:val="20"/>
          <w:szCs w:val="20"/>
        </w:rPr>
        <w:t>insuficiências de dotações do Grupo de Natureza da Despesa 1 - Pessoal e Encargos Sociais, mediante a utilização de recursos oriundos de anulação de despesas consignadas ao mesmo grupo;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II - </w:t>
      </w:r>
      <w:r w:rsidRPr="00A74F72">
        <w:rPr>
          <w:rFonts w:ascii="Arial" w:hAnsi="Arial" w:cs="Arial"/>
          <w:color w:val="000000"/>
          <w:sz w:val="20"/>
          <w:szCs w:val="20"/>
        </w:rPr>
        <w:t>despesas decorrentes de sentenças judiciais, amortizações, juros e encargos da dívida;</w:t>
      </w: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III - </w:t>
      </w:r>
      <w:r w:rsidRPr="00A74F72">
        <w:rPr>
          <w:rFonts w:ascii="Arial" w:hAnsi="Arial" w:cs="Arial"/>
          <w:color w:val="000000"/>
          <w:sz w:val="20"/>
          <w:szCs w:val="20"/>
        </w:rPr>
        <w:t>despesas financiadas com recursos provenientes de operações de crédito, alienação de bens e transferências voluntárias da União e do Estado.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ind w:firstLine="1418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Default="00A74F72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CAPÍTULO III </w:t>
      </w:r>
      <w:r w:rsidRPr="00A74F72">
        <w:rPr>
          <w:rFonts w:ascii="Arial" w:hAnsi="Arial" w:cs="Arial"/>
          <w:color w:val="000000"/>
          <w:sz w:val="20"/>
          <w:szCs w:val="20"/>
        </w:rPr>
        <w:br/>
        <w:t>DISPOSIÇÕES GERAIS E FINAIS </w:t>
      </w:r>
    </w:p>
    <w:p w:rsidR="00A74F72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0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>Art. 8º</w:t>
      </w:r>
      <w:r w:rsidRPr="00A74F72">
        <w:rPr>
          <w:rFonts w:ascii="Arial" w:hAnsi="Arial" w:cs="Arial"/>
          <w:color w:val="000000"/>
          <w:sz w:val="20"/>
          <w:szCs w:val="20"/>
        </w:rPr>
        <w:t> A utilização das dotações com origem de recursos provenientes de transferências voluntárias, operações de crédito e alienação de bens fica limitada aos efetivos recursos assegurados, nos termos da Lei de Diretrizes Orçamentárias para 2021.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9º </w:t>
      </w:r>
      <w:r w:rsidRPr="00A74F72">
        <w:rPr>
          <w:rFonts w:ascii="Arial" w:hAnsi="Arial" w:cs="Arial"/>
          <w:color w:val="000000"/>
          <w:sz w:val="20"/>
          <w:szCs w:val="20"/>
        </w:rPr>
        <w:t>Fica o Poder Executivo autorizado a realizar operações de crédito, observados os preceitos legais aplicáveis à matéria.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>Art. 10.</w:t>
      </w:r>
      <w:r>
        <w:rPr>
          <w:rStyle w:val="numeracao"/>
          <w:rFonts w:ascii="Arial" w:hAnsi="Arial" w:cs="Arial"/>
          <w:color w:val="000000"/>
          <w:sz w:val="20"/>
          <w:szCs w:val="20"/>
        </w:rPr>
        <w:t xml:space="preserve"> </w:t>
      </w:r>
      <w:r w:rsidRPr="00A74F72">
        <w:rPr>
          <w:rFonts w:ascii="Arial" w:hAnsi="Arial" w:cs="Arial"/>
          <w:color w:val="000000"/>
          <w:sz w:val="20"/>
          <w:szCs w:val="20"/>
        </w:rPr>
        <w:t>Obedecidas as disposições da Lei de Diretrizes Orçamentárias, as transferências financeiras destinadas à Câmara Municipal serão disponibilizadas até o dia 20 de cada mês.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>Art. 11.</w:t>
      </w:r>
      <w:r w:rsidRPr="00A74F72">
        <w:rPr>
          <w:rFonts w:ascii="Arial" w:hAnsi="Arial" w:cs="Arial"/>
          <w:color w:val="000000"/>
          <w:sz w:val="20"/>
          <w:szCs w:val="20"/>
        </w:rPr>
        <w:t> O Prefeito Municipal, nos termos do que dispuser a Lei de Diretrizes Orçamentárias, poderá adotar mecanismos para utilização das dotações, de forma a compatibilizar as despesas à efetiva realização das receitas.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12. </w:t>
      </w:r>
      <w:r w:rsidRPr="00A74F72">
        <w:rPr>
          <w:rFonts w:ascii="Arial" w:hAnsi="Arial" w:cs="Arial"/>
          <w:color w:val="000000"/>
          <w:sz w:val="20"/>
          <w:szCs w:val="20"/>
        </w:rPr>
        <w:t>Ficam automaticamente atualizados, com base nos valores desta Lei, o montante previsto para as receitas, despesas, resultado primário e resultado nominal previstos nos demonstrativos referidos na Lei de Diretrizes Orçamentárias para o exercício financeiro de 2021.</w:t>
      </w:r>
    </w:p>
    <w:p w:rsidR="00323A9F" w:rsidRPr="00A74F72" w:rsidRDefault="00A74F72" w:rsidP="00A74F72">
      <w:pPr>
        <w:pStyle w:val="NormalWeb"/>
        <w:shd w:val="clear" w:color="auto" w:fill="FFFFFF"/>
        <w:spacing w:before="120" w:beforeAutospacing="0" w:after="120" w:afterAutospacing="0" w:line="280" w:lineRule="atLeast"/>
        <w:ind w:firstLine="567"/>
        <w:jc w:val="both"/>
        <w:divId w:val="146673622"/>
        <w:rPr>
          <w:rFonts w:ascii="Arial" w:hAnsi="Arial" w:cs="Arial"/>
          <w:color w:val="000000"/>
          <w:sz w:val="20"/>
          <w:szCs w:val="20"/>
        </w:rPr>
      </w:pPr>
      <w:r w:rsidRPr="00A74F72">
        <w:rPr>
          <w:rStyle w:val="numeracao"/>
          <w:rFonts w:ascii="Arial" w:hAnsi="Arial" w:cs="Arial"/>
          <w:color w:val="000000"/>
          <w:sz w:val="20"/>
          <w:szCs w:val="20"/>
        </w:rPr>
        <w:t xml:space="preserve">Art. 13. </w:t>
      </w:r>
      <w:r w:rsidRPr="00A74F72">
        <w:rPr>
          <w:rFonts w:ascii="Arial" w:hAnsi="Arial" w:cs="Arial"/>
          <w:color w:val="000000"/>
          <w:sz w:val="20"/>
          <w:szCs w:val="20"/>
        </w:rPr>
        <w:t>Esta Lei entrará em vigor em 1.º de janeiro de 2021.</w:t>
      </w:r>
    </w:p>
    <w:p w:rsidR="00323A9F" w:rsidRPr="00A74F72" w:rsidRDefault="00A74F72" w:rsidP="00A74F72">
      <w:pPr>
        <w:shd w:val="clear" w:color="auto" w:fill="FFFFFF"/>
        <w:spacing w:before="120" w:after="120" w:line="280" w:lineRule="atLeast"/>
        <w:jc w:val="center"/>
        <w:divId w:val="1871605704"/>
        <w:rPr>
          <w:rFonts w:ascii="Arial" w:eastAsia="Times New Roman" w:hAnsi="Arial" w:cs="Arial"/>
          <w:color w:val="000000"/>
          <w:sz w:val="20"/>
          <w:szCs w:val="20"/>
        </w:rPr>
      </w:pPr>
      <w:r w:rsidRPr="00A74F72"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13 de novembro de 2020.</w:t>
      </w:r>
    </w:p>
    <w:p w:rsidR="00323A9F" w:rsidRPr="00A74F72" w:rsidRDefault="00A74F72" w:rsidP="00A74F72">
      <w:pPr>
        <w:shd w:val="clear" w:color="auto" w:fill="FFFFFF"/>
        <w:spacing w:before="120" w:after="120" w:line="240" w:lineRule="atLeast"/>
        <w:jc w:val="center"/>
        <w:divId w:val="2132703577"/>
        <w:rPr>
          <w:rFonts w:ascii="Arial" w:eastAsia="Times New Roman" w:hAnsi="Arial" w:cs="Arial"/>
          <w:color w:val="000000"/>
          <w:sz w:val="20"/>
          <w:szCs w:val="20"/>
        </w:rPr>
      </w:pPr>
      <w:r w:rsidRPr="00A74F7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23A9F" w:rsidRPr="00A74F72" w:rsidRDefault="00323A9F" w:rsidP="00A74F72">
      <w:pPr>
        <w:pStyle w:val="NormalWeb"/>
        <w:shd w:val="clear" w:color="auto" w:fill="FFFFFF"/>
        <w:spacing w:before="120" w:beforeAutospacing="0" w:after="120" w:afterAutospacing="0" w:line="240" w:lineRule="atLeast"/>
        <w:jc w:val="center"/>
        <w:divId w:val="146673622"/>
        <w:rPr>
          <w:rFonts w:ascii="Arial" w:hAnsi="Arial" w:cs="Arial"/>
          <w:color w:val="000000"/>
          <w:sz w:val="20"/>
          <w:szCs w:val="20"/>
        </w:rPr>
      </w:pPr>
    </w:p>
    <w:p w:rsidR="00323A9F" w:rsidRPr="00A74F72" w:rsidRDefault="00A74F72" w:rsidP="00A74F72">
      <w:pPr>
        <w:shd w:val="clear" w:color="auto" w:fill="FFFFFF"/>
        <w:spacing w:before="120" w:after="120" w:line="240" w:lineRule="atLeast"/>
        <w:jc w:val="center"/>
        <w:divId w:val="640428449"/>
        <w:rPr>
          <w:rFonts w:ascii="Arial" w:eastAsia="Times New Roman" w:hAnsi="Arial" w:cs="Arial"/>
          <w:color w:val="000000"/>
          <w:sz w:val="20"/>
          <w:szCs w:val="20"/>
        </w:rPr>
      </w:pPr>
      <w:r w:rsidRPr="00A74F72"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  <w:r w:rsidRPr="00A74F72">
        <w:rPr>
          <w:rFonts w:ascii="Arial" w:eastAsia="Times New Roman" w:hAnsi="Arial" w:cs="Arial"/>
          <w:color w:val="000000"/>
          <w:sz w:val="20"/>
          <w:szCs w:val="20"/>
        </w:rPr>
        <w:br/>
        <w:t>Prefeito Municipal</w:t>
      </w:r>
    </w:p>
    <w:sectPr w:rsidR="00323A9F" w:rsidRPr="00A74F72" w:rsidSect="00A74F72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4F72"/>
    <w:rsid w:val="00323A9F"/>
    <w:rsid w:val="00671510"/>
    <w:rsid w:val="00A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22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dcterms:created xsi:type="dcterms:W3CDTF">2020-11-18T20:35:00Z</dcterms:created>
  <dcterms:modified xsi:type="dcterms:W3CDTF">2020-11-18T20:35:00Z</dcterms:modified>
</cp:coreProperties>
</file>