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EC065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36, DE 24 DE JUNHO DE 2019.</w:t>
      </w:r>
    </w:p>
    <w:p w:rsidR="00EC065F" w:rsidRDefault="00EC065F" w:rsidP="00EC065F">
      <w:pPr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o Programa IPTU Sustentável no Município de Farroupilha, e dá outras providências.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0" w:name="284915"/>
      <w:bookmarkEnd w:id="0"/>
      <w:r>
        <w:rPr>
          <w:rFonts w:ascii="Arial" w:hAnsi="Arial" w:cs="Arial"/>
          <w:color w:val="000000"/>
          <w:sz w:val="20"/>
          <w:szCs w:val="20"/>
        </w:rPr>
        <w:t>Art. 1º Fica instituído no âmbito do Município de Farroupilha o Programa IPTU Sustentável, cujo objetivo é fomentar o uso de tecnologias ambientais sustentáveis e incentivar medidas que preservem, protejam e recuperem o meio ambiente, com intuito de reduzir os impactos ambientais negativos, através da concessão de incentivo fiscal no Imposto Predial e Territorial Urbano - IPTU aos imóveis que atendam aos requisitos previstos nesta Lei.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" w:name="284953"/>
      <w:bookmarkEnd w:id="1"/>
      <w:r>
        <w:rPr>
          <w:rFonts w:ascii="Arial" w:hAnsi="Arial" w:cs="Arial"/>
          <w:color w:val="000000"/>
          <w:sz w:val="20"/>
          <w:szCs w:val="20"/>
        </w:rPr>
        <w:t>Art. 2º Será concedido o benefício tributário, consistente em reduzir o Imposto Predial e Territorial Urbano - IPTU, aos proprietários de imóveis que adotem medidas que estimulem a proteção, preservação e a recuperação do meio ambiente e reduzam o impacto nas infraestruturas urbanas.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" w:name="284954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3º Serão consideradas para a obtenção do benefício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seguintes medidas: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3" w:name="284955"/>
      <w:bookmarkEnd w:id="3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captação de águas pluviais: instalação de equipamentos de captação, armazenamento e tratamento de água em reservatório específico;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4" w:name="284956"/>
      <w:bookmarkEnd w:id="4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sistemas de reuso de águas pluviais e/ou servidas: utilização, após o devido tratamento das águas pluviais e/ou residuais provenientes do próprio imóvel, para atividades que não exijam que a mesma seja potável;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5" w:name="284957"/>
      <w:bookmarkEnd w:id="5"/>
      <w:r>
        <w:rPr>
          <w:rFonts w:ascii="Arial" w:hAnsi="Arial" w:cs="Arial"/>
          <w:color w:val="000000"/>
          <w:sz w:val="20"/>
          <w:szCs w:val="20"/>
        </w:rPr>
        <w:t>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sistema de aquecimento hidráulico solar: utilização de sistema de captação de energia térmica solar para aquecimento de água, com a finalidade de reduzir parcialmente o consumo de energia elétrica no imóvel;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6" w:name="284958"/>
      <w:bookmarkEnd w:id="6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sistema de geração de energia a partir de fontes renováveis: utilização de sistema para conversão em energia elétrica, tais como solar, eólica, biogás, entre outras, visando reduzir parcial ou integralmente o consumo de energia elétrica do imóvel;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7" w:name="284959"/>
      <w:bookmarkEnd w:id="7"/>
      <w:r>
        <w:rPr>
          <w:rFonts w:ascii="Arial" w:hAnsi="Arial" w:cs="Arial"/>
          <w:color w:val="000000"/>
          <w:sz w:val="20"/>
          <w:szCs w:val="20"/>
        </w:rPr>
        <w:t>V - 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onstrução de calçadas ecológicas: considera-se calçada ecológica aquela que mantém a permeabilidade de, no mínimo, cinquenta por cento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 faixa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acesso e faixa de serviço, com cobertura vegetal adequada, excluído  entradas de portões e garagens, devendo atender ainda as normativas de acessibilidade;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8" w:name="284960"/>
      <w:bookmarkEnd w:id="8"/>
      <w:r>
        <w:rPr>
          <w:rFonts w:ascii="Arial" w:hAnsi="Arial" w:cs="Arial"/>
          <w:color w:val="000000"/>
          <w:sz w:val="20"/>
          <w:szCs w:val="20"/>
        </w:rPr>
        <w:t>VI - arborização no calçamento: manutenção e conservação de espaços destinados aos canteiros para arborização no passeio público em frente à sua propriedade, mediante autorização expressa da Secretaria Municipal de Meio Ambiente;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9" w:name="284961"/>
      <w:bookmarkEnd w:id="9"/>
      <w:r>
        <w:rPr>
          <w:rFonts w:ascii="Arial" w:hAnsi="Arial" w:cs="Arial"/>
          <w:color w:val="000000"/>
          <w:sz w:val="20"/>
          <w:szCs w:val="20"/>
        </w:rPr>
        <w:t>VII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ermeabilidade do solo: imóveis que mantenham taxa de permeabilidade do solo superior ao mínimo legal exigido no Plano Diretor de Desenvolvimento Territorial Integrado - PDDTI, para cada tipologia, com manutenção de cobertura vegetal sobre a mesma, sendo que para imóveis residenciais, deverá ser mantida área permeável superior à quinze por cento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0" w:name="284963"/>
      <w:bookmarkEnd w:id="10"/>
      <w:r>
        <w:rPr>
          <w:rFonts w:ascii="Arial" w:hAnsi="Arial" w:cs="Arial"/>
          <w:color w:val="000000"/>
          <w:sz w:val="20"/>
          <w:szCs w:val="20"/>
        </w:rPr>
        <w:t>VIII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telhado verde, telhado vivo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ecotelhado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cobertura da edificação, em pelo menos quarenta por cento da área de projeção na qual é plantada vegetação compatível, com impermeabilização e drenagem adequadas e que proporcione redução da poluição ambiental e melhorias em termos paisagísticos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termoacústicos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1" w:name="285911"/>
      <w:bookmarkEnd w:id="11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IX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manutenção de sistemas alternativos e/ou complementares de tratamento de efluentes sanitários que comprovem eficiência superior ao padrão mínimo exigido;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2" w:name="284964"/>
      <w:bookmarkEnd w:id="12"/>
      <w:r>
        <w:rPr>
          <w:rFonts w:ascii="Arial" w:hAnsi="Arial" w:cs="Arial"/>
          <w:color w:val="000000"/>
          <w:sz w:val="20"/>
          <w:szCs w:val="20"/>
        </w:rPr>
        <w:t>X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pintura e manutenção adequada da fachada do imóvel, de modo a qualificar a ambiência urbana.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3" w:name="284916"/>
      <w:bookmarkEnd w:id="13"/>
      <w:r>
        <w:rPr>
          <w:rFonts w:ascii="Arial" w:hAnsi="Arial" w:cs="Arial"/>
          <w:color w:val="000000"/>
          <w:sz w:val="20"/>
          <w:szCs w:val="20"/>
        </w:rPr>
        <w:t>§ 1º As medidas descritas nos incisos deste artigo conferem ao contribuinte desconto de dois por cento cada, com exceção do inciso X o qual corresponde a um por cento de desconto, sobre o Imposto Predial Territorial Urbano - IPTU, se comprovadas e mantidas na forma desta Lei.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4" w:name="285912"/>
      <w:bookmarkEnd w:id="14"/>
      <w:r>
        <w:rPr>
          <w:rFonts w:ascii="Arial" w:hAnsi="Arial" w:cs="Arial"/>
          <w:color w:val="000000"/>
          <w:sz w:val="20"/>
          <w:szCs w:val="20"/>
        </w:rPr>
        <w:t>§ 2º Para efeitos do inciso I deste artigo, considera-se armazenamento/reservatório de água para habitações unifamiliares aqueles com capacidade mínima de dois mil e quinhentos litros. Em se tratando de edificações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industrias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comércio com até setecentos e cinquenta metros quadrados, a capacidade mínima é de cinco mil litros. Para os demais casos, deve-se multiplicar a área de projeção de cobertura do imóvel pelo fator dez.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5" w:name="285914"/>
      <w:bookmarkEnd w:id="15"/>
      <w:r>
        <w:rPr>
          <w:rFonts w:ascii="Arial" w:hAnsi="Arial" w:cs="Arial"/>
          <w:color w:val="000000"/>
          <w:sz w:val="20"/>
          <w:szCs w:val="20"/>
        </w:rPr>
        <w:t xml:space="preserve">Art. 4º O desconto concedido será, no máximo, de quinze por cento sobre o valor do Imposto Predial e Territorial Urbano - IPTU lançado anualmente, pelo período de três exercícios consecutivos, podendo ser renovado, mediante novo protocolo,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após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findado este período.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6" w:name="284979"/>
      <w:bookmarkEnd w:id="16"/>
      <w:r>
        <w:rPr>
          <w:rFonts w:ascii="Arial" w:hAnsi="Arial" w:cs="Arial"/>
          <w:color w:val="000000"/>
          <w:sz w:val="20"/>
          <w:szCs w:val="20"/>
        </w:rPr>
        <w:t>Parágrafo único. Os benefícios concedidos ao contribuinte através desta Lei, não obstam a cumulação com os descontos promulgados na Lei Municipal nº 3094/06.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7" w:name="284966"/>
      <w:bookmarkEnd w:id="17"/>
      <w:r>
        <w:rPr>
          <w:rFonts w:ascii="Arial" w:hAnsi="Arial" w:cs="Arial"/>
          <w:color w:val="000000"/>
          <w:sz w:val="20"/>
          <w:szCs w:val="20"/>
        </w:rPr>
        <w:t>Art. 5º A concessão do benefício deverá ser requerida por meio de processo administrativo, a ser protocolado junto ao Expediente da Prefeitura Municipal e direcionado à Secretaria Municipal de Planejamento, no qual deverá constar: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8" w:name="284967"/>
      <w:bookmarkEnd w:id="18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requerimento padrão firmado pelo proprietário do imóvel;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19" w:name="285913"/>
      <w:bookmarkEnd w:id="19"/>
      <w:r>
        <w:rPr>
          <w:rFonts w:ascii="Arial" w:hAnsi="Arial" w:cs="Arial"/>
          <w:color w:val="000000"/>
          <w:sz w:val="20"/>
          <w:szCs w:val="20"/>
        </w:rPr>
        <w:t>II - cópia de documento de identificação oficial com foto;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0" w:name="284968"/>
      <w:bookmarkEnd w:id="20"/>
      <w:r>
        <w:rPr>
          <w:rFonts w:ascii="Arial" w:hAnsi="Arial" w:cs="Arial"/>
          <w:color w:val="000000"/>
          <w:sz w:val="20"/>
          <w:szCs w:val="20"/>
        </w:rPr>
        <w:t> 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documentação comprobatória das medidas listadas no art. 3º, à(s) qual(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postular, inclusive com fotografias;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1" w:name="284969"/>
      <w:bookmarkEnd w:id="21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cópia de Certidão Negativa de Débitos, ou positiva com efeito de negativa, fornecida pela Fazenda Municipal, com validade não superior a trinta dias contados da data do protocolo; e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2" w:name="284970"/>
      <w:bookmarkEnd w:id="22"/>
      <w:r>
        <w:rPr>
          <w:rFonts w:ascii="Arial" w:hAnsi="Arial" w:cs="Arial"/>
          <w:color w:val="000000"/>
          <w:sz w:val="20"/>
          <w:szCs w:val="20"/>
        </w:rPr>
        <w:t>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cópia de documento que comprove a regularidade da edificação(s), caso existente(s).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3" w:name="284971"/>
      <w:bookmarkEnd w:id="23"/>
      <w:r>
        <w:rPr>
          <w:rFonts w:ascii="Arial" w:hAnsi="Arial" w:cs="Arial"/>
          <w:color w:val="000000"/>
          <w:sz w:val="20"/>
          <w:szCs w:val="20"/>
        </w:rPr>
        <w:t>§ 1º A documentação estará sujeita a análise, fiscalização e parecer técnico para a concessão do benefício fiscal.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4" w:name="284976"/>
      <w:bookmarkEnd w:id="24"/>
      <w:r>
        <w:rPr>
          <w:rFonts w:ascii="Arial" w:hAnsi="Arial" w:cs="Arial"/>
          <w:color w:val="000000"/>
          <w:sz w:val="20"/>
          <w:szCs w:val="20"/>
        </w:rPr>
        <w:t>§ 2º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O protocolo solicitando a concessão do benefício deverá ocorrer até a data de 30 de setembro, para que haja o lançamento no ano subsequente.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5" w:name="284977"/>
      <w:bookmarkEnd w:id="25"/>
      <w:r>
        <w:rPr>
          <w:rFonts w:ascii="Arial" w:hAnsi="Arial" w:cs="Arial"/>
          <w:color w:val="000000"/>
          <w:sz w:val="20"/>
          <w:szCs w:val="20"/>
        </w:rPr>
        <w:t>§ 3º Estando o requerimento de acordo com o estipulado nesta Lei, cabe a Secretaria Municipal de Planejamento informar à Secretaria Municipal de Finanças para proceder com a respectiva dedução a que o contribuinte fizer jus.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6" w:name="284978"/>
      <w:bookmarkEnd w:id="26"/>
      <w:r>
        <w:rPr>
          <w:rFonts w:ascii="Arial" w:hAnsi="Arial" w:cs="Arial"/>
          <w:color w:val="000000"/>
          <w:sz w:val="20"/>
          <w:szCs w:val="20"/>
        </w:rPr>
        <w:t>§ 4º Poderá ser exigida documentação complementar a critério da autoridade municipal.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7" w:name="284980"/>
      <w:bookmarkEnd w:id="27"/>
      <w:r>
        <w:rPr>
          <w:rFonts w:ascii="Arial" w:hAnsi="Arial" w:cs="Arial"/>
          <w:color w:val="000000"/>
          <w:sz w:val="20"/>
          <w:szCs w:val="20"/>
        </w:rPr>
        <w:t>Art. 6º Os benefícios concedidos nesta Lei poderão ser suspensos a qualquer tempo, por ato da autoridade competente e fiscalizadora, quando verificado o descumprimento das exigências que justificaram os incentivos.</w:t>
      </w:r>
    </w:p>
    <w:p w:rsidR="00EC065F" w:rsidRDefault="00EC065F" w:rsidP="00EC065F">
      <w:pPr>
        <w:pStyle w:val="estruturablock"/>
        <w:jc w:val="both"/>
        <w:rPr>
          <w:color w:val="000000"/>
          <w:sz w:val="27"/>
          <w:szCs w:val="27"/>
        </w:rPr>
      </w:pPr>
      <w:bookmarkStart w:id="28" w:name="284981"/>
      <w:bookmarkEnd w:id="28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Art. 7º Caso o contribuinte preste informações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inverídicas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verificadas a qualquer tempo, este será multado no valor de 500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através de processo administrativo autônomo, bem como não poderá participar do programa de concessão do desconto referido por três exercícios consecutivos.</w:t>
      </w:r>
    </w:p>
    <w:p w:rsidR="00EC065F" w:rsidRDefault="00EC065F" w:rsidP="00EC065F">
      <w:pPr>
        <w:pStyle w:val="estruturablock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bookmarkStart w:id="29" w:name="284982"/>
      <w:bookmarkEnd w:id="29"/>
      <w:r>
        <w:rPr>
          <w:rFonts w:ascii="Arial" w:hAnsi="Arial" w:cs="Arial"/>
          <w:color w:val="000000"/>
          <w:sz w:val="20"/>
          <w:szCs w:val="20"/>
        </w:rPr>
        <w:t>Art. 8º A presente Lei entrará em vigor na data de sua publicação, sendo que a concessão dos benefícios previstos somente será feita a partir do exercício de 2020.</w:t>
      </w:r>
    </w:p>
    <w:p w:rsidR="00EC065F" w:rsidRDefault="00EC065F" w:rsidP="00EC065F">
      <w:pPr>
        <w:pStyle w:val="estruturablock"/>
        <w:rPr>
          <w:color w:val="000000"/>
          <w:sz w:val="27"/>
          <w:szCs w:val="27"/>
        </w:rPr>
      </w:pPr>
      <w:bookmarkStart w:id="30" w:name="284951"/>
      <w:bookmarkEnd w:id="30"/>
      <w:r>
        <w:rPr>
          <w:rFonts w:ascii="Arial" w:hAnsi="Arial" w:cs="Arial"/>
          <w:color w:val="000000"/>
          <w:sz w:val="20"/>
          <w:szCs w:val="20"/>
        </w:rPr>
        <w:t>GABINETE DO PREFEITO MUNICIPAL DE FARROUPILHA, RS, 24 de Junho de 2019.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C065F" w:rsidRDefault="00EC065F" w:rsidP="00EC065F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31" w:name="284952"/>
      <w:bookmarkEnd w:id="31"/>
    </w:p>
    <w:p w:rsidR="00EC065F" w:rsidRDefault="00EC065F" w:rsidP="00EC065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Ilustres Membros dessa Colenda Câmara Municipal de Vereadores, oportunidade em que apresentamos o anexo Projeto de Lei, que institui o Programa IPTU Sustentável no Município de Farroupilha, e dá outras providências.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projeto de lei tem como objetivo fomentar o uso de tecnologias ambientais sustentáveis e preservar e proteger o meio ambiente através de políticas que atenuem os impactos ambientais negativos e promovam o desenvolvimento sustentável.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Conforme a urbanização avança, mudanças imprescindíveis em relação aos espaços urbanos e que permitam melhorar as condições de infraestrutura de comunidades serão necessárias para o aumento da qualidade de vida.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Desta forma, os incentivos fiscais "verdes" se inserem atualmente no cenário de desenvolvimento sustentável, com o intuito de estimular a prática de medidas para a preservação do meio ambiente.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IPTU Sustentável visa estimular o comportamento do contribuinte para um melhor emprego dos recursos naturais, através de determinadas ações previstas na Lei, contribuindo para que o Município se torne mais sustentável e, consequentemente, recebe um incentivo fiscal por essas práticas.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"Pensar globalmente e agir localmente" está diretamente vinculado 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políticas públicas que devem ser colocadas em prática pelo Poder Público com intuito de garantir a sustentabilidade ambiental.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Nessas condições, evidenciadas as razões que embasam a iniciativa e demonstrado o seu relevante interesse público, solicitamos a apreciação e consequente aprovação do anexo Projeto de Lei.</w:t>
      </w:r>
    </w:p>
    <w:p w:rsidR="00EC065F" w:rsidRDefault="00EC065F" w:rsidP="00EC06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estruturablock"/>
        <w:rPr>
          <w:color w:val="000000"/>
          <w:sz w:val="27"/>
          <w:szCs w:val="27"/>
        </w:rPr>
      </w:pPr>
      <w:bookmarkStart w:id="32" w:name="285915"/>
      <w:bookmarkEnd w:id="32"/>
      <w:r>
        <w:rPr>
          <w:rFonts w:ascii="Arial" w:hAnsi="Arial" w:cs="Arial"/>
          <w:color w:val="000000"/>
          <w:sz w:val="20"/>
          <w:szCs w:val="20"/>
        </w:rPr>
        <w:t>GABINETE DO PREFEITO MUNICIPAL DE FARROUPILHA, RS, 24 de junho de 2019.</w:t>
      </w:r>
      <w:r>
        <w:rPr>
          <w:color w:val="000000"/>
          <w:sz w:val="27"/>
          <w:szCs w:val="27"/>
        </w:rPr>
        <w:t> </w:t>
      </w:r>
    </w:p>
    <w:p w:rsidR="00EC065F" w:rsidRDefault="00EC065F" w:rsidP="00EC065F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33" w:name="_GoBack"/>
      <w:bookmarkEnd w:id="33"/>
    </w:p>
    <w:sectPr w:rsidR="00EC0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F"/>
    <w:rsid w:val="001D0ED0"/>
    <w:rsid w:val="007061F4"/>
    <w:rsid w:val="00E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065F"/>
    <w:rPr>
      <w:b/>
      <w:bCs/>
    </w:rPr>
  </w:style>
  <w:style w:type="paragraph" w:customStyle="1" w:styleId="estruturablock">
    <w:name w:val="estrutura_block"/>
    <w:basedOn w:val="Normal"/>
    <w:rsid w:val="00E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065F"/>
    <w:rPr>
      <w:b/>
      <w:bCs/>
    </w:rPr>
  </w:style>
  <w:style w:type="paragraph" w:customStyle="1" w:styleId="estruturablock">
    <w:name w:val="estrutura_block"/>
    <w:basedOn w:val="Normal"/>
    <w:rsid w:val="00E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2019-06-26T19:25:00Z</dcterms:created>
  <dcterms:modified xsi:type="dcterms:W3CDTF">2019-06-26T19:27:00Z</dcterms:modified>
</cp:coreProperties>
</file>